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E70" w:rsidRDefault="00E106F2" w:rsidP="00F67C88">
      <w:pPr>
        <w:rPr>
          <w:b/>
          <w:sz w:val="40"/>
          <w:szCs w:val="40"/>
        </w:rPr>
      </w:pPr>
      <w:r w:rsidRPr="00FB5047">
        <w:rPr>
          <w:b/>
          <w:sz w:val="40"/>
          <w:szCs w:val="40"/>
        </w:rPr>
        <w:t>The profit-investment nexus: Keynes or Marx</w:t>
      </w:r>
      <w:r w:rsidR="000053B8" w:rsidRPr="00FB5047">
        <w:rPr>
          <w:b/>
          <w:sz w:val="40"/>
          <w:szCs w:val="40"/>
        </w:rPr>
        <w:t>?</w:t>
      </w:r>
    </w:p>
    <w:p w:rsidR="00FB5047" w:rsidRPr="00FB5047" w:rsidRDefault="002550DB" w:rsidP="00F67C88">
      <w:pPr>
        <w:rPr>
          <w:sz w:val="32"/>
          <w:szCs w:val="32"/>
        </w:rPr>
      </w:pPr>
      <w:proofErr w:type="gramStart"/>
      <w:r>
        <w:rPr>
          <w:sz w:val="32"/>
          <w:szCs w:val="32"/>
        </w:rPr>
        <w:t>b</w:t>
      </w:r>
      <w:r w:rsidR="00FB5047" w:rsidRPr="00FB5047">
        <w:rPr>
          <w:sz w:val="32"/>
          <w:szCs w:val="32"/>
        </w:rPr>
        <w:t>y</w:t>
      </w:r>
      <w:proofErr w:type="gramEnd"/>
      <w:r w:rsidR="00FB5047" w:rsidRPr="00FB5047">
        <w:rPr>
          <w:sz w:val="32"/>
          <w:szCs w:val="32"/>
        </w:rPr>
        <w:t xml:space="preserve"> Michael Roberts</w:t>
      </w:r>
    </w:p>
    <w:p w:rsidR="008A59F2" w:rsidRDefault="002550DB" w:rsidP="00F67C88">
      <w:r>
        <w:t>I</w:t>
      </w:r>
      <w:r w:rsidR="008A59F2">
        <w:t xml:space="preserve">nvestment (especially business investment) is the key driver of economic growth and the main swing factor in the capitalist business cycle of boom and slump. </w:t>
      </w:r>
      <w:r>
        <w:rPr>
          <w:rStyle w:val="EndnoteReference"/>
        </w:rPr>
        <w:endnoteReference w:id="1"/>
      </w:r>
      <w:r w:rsidR="008A59F2">
        <w:t xml:space="preserve"> .  </w:t>
      </w:r>
    </w:p>
    <w:p w:rsidR="008A59F2" w:rsidRDefault="002550DB" w:rsidP="00F67C88">
      <w:r>
        <w:t>T</w:t>
      </w:r>
      <w:r w:rsidR="008A59F2">
        <w:t xml:space="preserve">he Keynesian macro-identities suggest that investment drives GDP, employment and profits through the mechanism of effective demand.  But Marxist theory says that it is profit that </w:t>
      </w:r>
      <w:r>
        <w:t>‘</w:t>
      </w:r>
      <w:r w:rsidR="008A59F2">
        <w:t>calls the tune</w:t>
      </w:r>
      <w:r>
        <w:t>’</w:t>
      </w:r>
      <w:r w:rsidR="008A59F2">
        <w:t xml:space="preserve">, not investment.  Profit is part of surplus value, or the unpaid labour in production.  It is the result of the exploitation of labour – something ignored or denied by Keynesian theory, where profit is the result of ‘capital’ as a factor of production.  This paper shows that Keynesian macro-identities are thus </w:t>
      </w:r>
      <w:r>
        <w:t>‘</w:t>
      </w:r>
      <w:r w:rsidR="008A59F2">
        <w:t>back to front</w:t>
      </w:r>
      <w:r>
        <w:t>’</w:t>
      </w:r>
      <w:r w:rsidR="008A59F2">
        <w:t>: investment does not ‘cause’ profit; profit ‘cause</w:t>
      </w:r>
      <w:r>
        <w:t>s</w:t>
      </w:r>
      <w:r w:rsidR="008A59F2">
        <w:t xml:space="preserve">’ investment.  </w:t>
      </w:r>
    </w:p>
    <w:p w:rsidR="008A59F2" w:rsidRDefault="008A59F2" w:rsidP="002550DB">
      <w:r>
        <w:t xml:space="preserve">There is little </w:t>
      </w:r>
      <w:r w:rsidR="002550DB">
        <w:t xml:space="preserve">empirical </w:t>
      </w:r>
      <w:r>
        <w:t>evidence that investment drives profits as the Keynesian model would suggest.</w:t>
      </w:r>
      <w:r w:rsidR="002550DB">
        <w:t xml:space="preserve"> And </w:t>
      </w:r>
      <w:r w:rsidR="007F6835">
        <w:t xml:space="preserve">there is little evidence that government spending or budget deficits (net borrowing) restore economic growth or end slumps.  These end only when the profitability of business capital is revived.  </w:t>
      </w:r>
      <w:r w:rsidR="002550DB">
        <w:t>Thus t</w:t>
      </w:r>
      <w:r w:rsidR="007F6835">
        <w:t xml:space="preserve">he Keynesian multiplier is less compelling than the </w:t>
      </w:r>
      <w:r w:rsidR="002550DB">
        <w:t>‘</w:t>
      </w:r>
      <w:r w:rsidR="007F6835">
        <w:t>Marxist multiplier</w:t>
      </w:r>
      <w:r w:rsidR="002550DB">
        <w:t>’</w:t>
      </w:r>
      <w:r w:rsidR="007F6835">
        <w:t xml:space="preserve">. </w:t>
      </w:r>
    </w:p>
    <w:p w:rsidR="000E19E2" w:rsidRDefault="000E19E2" w:rsidP="000E19E2">
      <w:pPr>
        <w:rPr>
          <w:shd w:val="clear" w:color="auto" w:fill="FFFFFF"/>
        </w:rPr>
      </w:pPr>
      <w:r>
        <w:rPr>
          <w:shd w:val="clear" w:color="auto" w:fill="FFFFFF"/>
        </w:rPr>
        <w:t>If we analyse the changes in investment and consumption prior to each recession or slump in the post-war US economy, we find that consumption demand has played little or no leading role in provoking a slump</w:t>
      </w:r>
      <w:r w:rsidR="000053B8">
        <w:rPr>
          <w:shd w:val="clear" w:color="auto" w:fill="FFFFFF"/>
        </w:rPr>
        <w:t xml:space="preserve"> (Figure 1)</w:t>
      </w:r>
      <w:r>
        <w:rPr>
          <w:shd w:val="clear" w:color="auto" w:fill="FFFFFF"/>
        </w:rPr>
        <w:t>.</w:t>
      </w:r>
    </w:p>
    <w:p w:rsidR="000053B8" w:rsidRDefault="000053B8" w:rsidP="000E19E2">
      <w:pPr>
        <w:rPr>
          <w:b/>
          <w:u w:val="single"/>
          <w:shd w:val="clear" w:color="auto" w:fill="FFFFFF"/>
        </w:rPr>
      </w:pPr>
      <w:proofErr w:type="gramStart"/>
      <w:r w:rsidRPr="007E4EFF">
        <w:rPr>
          <w:b/>
          <w:u w:val="single"/>
          <w:shd w:val="clear" w:color="auto" w:fill="FFFFFF"/>
        </w:rPr>
        <w:t>Figure 1.</w:t>
      </w:r>
      <w:proofErr w:type="gramEnd"/>
      <w:r w:rsidRPr="007E4EFF">
        <w:rPr>
          <w:b/>
          <w:u w:val="single"/>
          <w:shd w:val="clear" w:color="auto" w:fill="FFFFFF"/>
        </w:rPr>
        <w:t xml:space="preserve"> Percentage change in US real personal consumption (PC), investment and GDP</w:t>
      </w:r>
    </w:p>
    <w:p w:rsidR="000E19E2" w:rsidRDefault="000E19E2" w:rsidP="000053B8">
      <w:pPr>
        <w:pStyle w:val="NormalWeb"/>
      </w:pPr>
      <w:r>
        <w:rPr>
          <w:noProof/>
        </w:rPr>
        <w:drawing>
          <wp:inline distT="0" distB="0" distL="0" distR="0" wp14:anchorId="07A950C9" wp14:editId="058CD6BC">
            <wp:extent cx="5180921" cy="23717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5789" cy="2378531"/>
                    </a:xfrm>
                    <a:prstGeom prst="rect">
                      <a:avLst/>
                    </a:prstGeom>
                    <a:noFill/>
                  </pic:spPr>
                </pic:pic>
              </a:graphicData>
            </a:graphic>
          </wp:inline>
        </w:drawing>
      </w:r>
    </w:p>
    <w:p w:rsidR="007E4EFF" w:rsidRPr="007E4EFF" w:rsidRDefault="007E4EFF" w:rsidP="007E4EFF">
      <w:pPr>
        <w:rPr>
          <w:i/>
        </w:rPr>
      </w:pPr>
      <w:r w:rsidRPr="007E4EFF">
        <w:rPr>
          <w:i/>
        </w:rPr>
        <w:t>Source: BEA NIPA, author’s calculations</w:t>
      </w:r>
    </w:p>
    <w:p w:rsidR="000E19E2" w:rsidRDefault="000053B8" w:rsidP="00F67C88">
      <w:r>
        <w:t>In the six recessions in Figure 1, personal consumption f</w:t>
      </w:r>
      <w:r w:rsidR="008A59F2">
        <w:t>e</w:t>
      </w:r>
      <w:r>
        <w:t>ll less than GDP or investment on every occasion and does not fall at all in 1980-2.  Investment f</w:t>
      </w:r>
      <w:r w:rsidR="008A59F2">
        <w:t>ell</w:t>
      </w:r>
      <w:r>
        <w:t xml:space="preserve"> by 8-30%</w:t>
      </w:r>
      <w:r w:rsidR="008A59F2">
        <w:t xml:space="preserve"> on every occasion</w:t>
      </w:r>
      <w:r>
        <w:t>.</w:t>
      </w:r>
    </w:p>
    <w:p w:rsidR="00422B7A" w:rsidRDefault="00422B7A" w:rsidP="00F67C88">
      <w:r w:rsidRPr="00422B7A">
        <w:t>As the BIS put it: </w:t>
      </w:r>
      <w:r w:rsidRPr="007E4EFF">
        <w:rPr>
          <w:i/>
        </w:rPr>
        <w:t xml:space="preserve">“Business investment is not just a key determinant of long-term growth, but also a highly cyclical component of aggregate demand. It is therefore a major contributor to business cycle fluctuations. This has been in evidence over the past decade. The collapse in investment in 2008 </w:t>
      </w:r>
      <w:r w:rsidRPr="007E4EFF">
        <w:rPr>
          <w:i/>
        </w:rPr>
        <w:lastRenderedPageBreak/>
        <w:t>accounted for a large part of the contraction in aggregate demand that led many advanced economies to experience their worst recession in decades. Across advanced economies, private non-residential investment fell by 10-25%”</w:t>
      </w:r>
      <w:r>
        <w:t>.</w:t>
      </w:r>
      <w:r>
        <w:rPr>
          <w:rStyle w:val="EndnoteReference"/>
        </w:rPr>
        <w:endnoteReference w:id="2"/>
      </w:r>
    </w:p>
    <w:p w:rsidR="007E4EFF" w:rsidRPr="007E4EFF" w:rsidRDefault="007E4EFF" w:rsidP="00F67C88">
      <w:pPr>
        <w:rPr>
          <w:u w:val="single"/>
        </w:rPr>
      </w:pPr>
      <w:r w:rsidRPr="007E4EFF">
        <w:rPr>
          <w:u w:val="single"/>
        </w:rPr>
        <w:t xml:space="preserve">1/ THE </w:t>
      </w:r>
      <w:r w:rsidR="000B478A">
        <w:rPr>
          <w:u w:val="single"/>
        </w:rPr>
        <w:t xml:space="preserve">THEORY: KEYNES VERSUS MARX </w:t>
      </w:r>
    </w:p>
    <w:p w:rsidR="00E106F2" w:rsidRDefault="003662C2" w:rsidP="00F67C88">
      <w:r>
        <w:t>If investment is the driver of growth or the ‘swing factor’ in recession, t</w:t>
      </w:r>
      <w:r w:rsidR="000053B8">
        <w:t>he question is what causes investment to rise and fall?  Keynesian theory does not ignore investment as a key factor in the movement of economic activity.  It considers the question using macro-identities.</w:t>
      </w:r>
    </w:p>
    <w:p w:rsidR="000053B8" w:rsidRDefault="000053B8" w:rsidP="000053B8">
      <w:r>
        <w:t>Let us consider these identities.  We start with:</w:t>
      </w:r>
    </w:p>
    <w:p w:rsidR="0083440D" w:rsidRDefault="0013605B" w:rsidP="000053B8">
      <w:r>
        <w:t xml:space="preserve">National income = national expenditure.  </w:t>
      </w:r>
    </w:p>
    <w:p w:rsidR="0083440D" w:rsidRDefault="0013605B" w:rsidP="000053B8">
      <w:r>
        <w:t xml:space="preserve">National income can then be broken down to Profit + Wages; and National expenditure can be broken down to Investment + Consumption.  </w:t>
      </w:r>
    </w:p>
    <w:p w:rsidR="0083440D" w:rsidRDefault="0013605B" w:rsidP="000053B8">
      <w:r>
        <w:t xml:space="preserve">So Profit + Wages = Investment + Consumption.  </w:t>
      </w:r>
    </w:p>
    <w:p w:rsidR="000053B8" w:rsidRDefault="0013605B" w:rsidP="000053B8">
      <w:r>
        <w:t xml:space="preserve">Now if we assume that wages are all spent on consumption and not saved, then </w:t>
      </w:r>
    </w:p>
    <w:p w:rsidR="0013605B" w:rsidRDefault="0013605B" w:rsidP="000053B8">
      <w:r>
        <w:t>Profits =</w:t>
      </w:r>
      <w:r w:rsidR="0031103B">
        <w:t xml:space="preserve"> </w:t>
      </w:r>
      <w:r>
        <w:t xml:space="preserve">Investment.  </w:t>
      </w:r>
    </w:p>
    <w:p w:rsidR="0083440D" w:rsidRDefault="0013605B" w:rsidP="000053B8">
      <w:r>
        <w:t>But here is the rub.  This identity does not tell us the causal direction that can help us develop a theory</w:t>
      </w:r>
      <w:r w:rsidR="000053B8">
        <w:t xml:space="preserve"> of what moves economies and/or a theory of crises</w:t>
      </w:r>
      <w:r>
        <w:t xml:space="preserve">.  </w:t>
      </w:r>
    </w:p>
    <w:p w:rsidR="00D67C4D" w:rsidRDefault="0013605B" w:rsidP="000053B8">
      <w:r>
        <w:t>For Keynes</w:t>
      </w:r>
      <w:r w:rsidR="0083440D">
        <w:t>ians</w:t>
      </w:r>
      <w:r>
        <w:t xml:space="preserve">, the causal direction is that investment creates profit. </w:t>
      </w:r>
      <w:r w:rsidR="0083440D" w:rsidRPr="0083440D">
        <w:t xml:space="preserve">For orthodox Keynesians, </w:t>
      </w:r>
      <w:r w:rsidR="0083440D">
        <w:t>crise</w:t>
      </w:r>
      <w:r w:rsidR="0083440D" w:rsidRPr="0083440D">
        <w:t xml:space="preserve">s come about because of a collapse in aggregate or </w:t>
      </w:r>
      <w:r w:rsidR="000053B8">
        <w:t>‘</w:t>
      </w:r>
      <w:r w:rsidR="0083440D" w:rsidRPr="0083440D">
        <w:t>effective demand</w:t>
      </w:r>
      <w:r w:rsidR="000053B8">
        <w:t>’</w:t>
      </w:r>
      <w:r w:rsidR="0083440D" w:rsidRPr="0083440D">
        <w:t xml:space="preserve"> in the economy (as expressed in a fall of investment and consumption).  This fall in investment leads to a fall in employment and thus to less income.  Effective demand is the independent variable and incomes and employment are the dependent variables.  There is no mention of profit or profitability in this </w:t>
      </w:r>
      <w:r w:rsidR="000053B8">
        <w:t xml:space="preserve">causal </w:t>
      </w:r>
      <w:r w:rsidR="0083440D" w:rsidRPr="0083440D">
        <w:t xml:space="preserve">schema.  </w:t>
      </w:r>
    </w:p>
    <w:p w:rsidR="000053B8" w:rsidRDefault="000053B8" w:rsidP="00F67C88">
      <w:r>
        <w:t xml:space="preserve">Nevertheless, </w:t>
      </w:r>
      <w:r w:rsidR="00D67C4D">
        <w:t xml:space="preserve">Keynes understood the central role of profit in the capitalist system. </w:t>
      </w:r>
      <w:r w:rsidR="00D67C4D" w:rsidRPr="002550DB">
        <w:rPr>
          <w:i/>
        </w:rPr>
        <w:t>“Unemployment, I must repeat, exists because employers have been deprived of profit. The loss of profit may be due to all sorts of causes. But, short of going over to Communism, there is no possible means of curing unemployment except by restoring to employers a proper margin of profit.”</w:t>
      </w:r>
      <w:r w:rsidR="00D67C4D">
        <w:rPr>
          <w:rStyle w:val="EndnoteReference"/>
        </w:rPr>
        <w:endnoteReference w:id="3"/>
      </w:r>
      <w:r w:rsidR="00D67C4D" w:rsidRPr="00467AE4">
        <w:t xml:space="preserve"> </w:t>
      </w:r>
    </w:p>
    <w:p w:rsidR="00423743" w:rsidRPr="003662C2" w:rsidRDefault="000053B8" w:rsidP="00F67C88">
      <w:r>
        <w:t>But i</w:t>
      </w:r>
      <w:r w:rsidR="0083440D" w:rsidRPr="0083440D">
        <w:t xml:space="preserve">nvestment creates profits not vice versa.  </w:t>
      </w:r>
      <w:r>
        <w:t>“</w:t>
      </w:r>
      <w:r w:rsidR="0083440D" w:rsidRPr="0083440D">
        <w:rPr>
          <w:i/>
        </w:rPr>
        <w:t xml:space="preserve">Nothing obviously, can restore employment which does not first restore business profits. Yet nothing, in my judgement, can restore business profits that does not first restore the volume of investment.” </w:t>
      </w:r>
      <w:r>
        <w:rPr>
          <w:rStyle w:val="EndnoteReference"/>
          <w:i/>
        </w:rPr>
        <w:endnoteReference w:id="4"/>
      </w:r>
      <w:r w:rsidR="003662C2">
        <w:rPr>
          <w:i/>
        </w:rPr>
        <w:t xml:space="preserve">  </w:t>
      </w:r>
      <w:r w:rsidR="003662C2">
        <w:t xml:space="preserve">To use the pithy phrase of Hyman </w:t>
      </w:r>
      <w:proofErr w:type="spellStart"/>
      <w:r w:rsidR="003662C2">
        <w:t>Minsky</w:t>
      </w:r>
      <w:proofErr w:type="spellEnd"/>
      <w:r w:rsidR="003662C2">
        <w:t>, devoted follower of Keynes</w:t>
      </w:r>
      <w:r w:rsidR="003662C2" w:rsidRPr="007E4EFF">
        <w:rPr>
          <w:i/>
        </w:rPr>
        <w:t>,</w:t>
      </w:r>
      <w:r w:rsidR="00FB5047" w:rsidRPr="007E4EFF">
        <w:rPr>
          <w:i/>
        </w:rPr>
        <w:t xml:space="preserve"> </w:t>
      </w:r>
      <w:r w:rsidR="00423743" w:rsidRPr="007E4EFF">
        <w:rPr>
          <w:i/>
        </w:rPr>
        <w:t>“it is investment that calls the tune”</w:t>
      </w:r>
      <w:r w:rsidR="00C75EEF">
        <w:rPr>
          <w:i/>
        </w:rPr>
        <w:t>.</w:t>
      </w:r>
      <w:r w:rsidR="00D67C4D" w:rsidRPr="00C75EEF">
        <w:rPr>
          <w:sz w:val="20"/>
          <w:szCs w:val="20"/>
          <w:vertAlign w:val="superscript"/>
        </w:rPr>
        <w:endnoteReference w:id="5"/>
      </w:r>
    </w:p>
    <w:p w:rsidR="00DF5A26" w:rsidRDefault="0083440D" w:rsidP="00DF5A26">
      <w:r>
        <w:t xml:space="preserve">Let us return to the </w:t>
      </w:r>
      <w:r w:rsidR="00DF5A26">
        <w:t xml:space="preserve">macro </w:t>
      </w:r>
      <w:r>
        <w:t>profit equation</w:t>
      </w:r>
      <w:r w:rsidR="00DF5A26">
        <w:t xml:space="preserve"> outlined above</w:t>
      </w:r>
      <w:r>
        <w:t>, but now as</w:t>
      </w:r>
      <w:r w:rsidR="00DF5A26">
        <w:t xml:space="preserve"> </w:t>
      </w:r>
      <w:r w:rsidR="0013605B">
        <w:t xml:space="preserve">developed by Michel </w:t>
      </w:r>
      <w:proofErr w:type="spellStart"/>
      <w:r w:rsidR="0013605B">
        <w:t>Kalecki</w:t>
      </w:r>
      <w:proofErr w:type="spellEnd"/>
      <w:r w:rsidR="0013605B">
        <w:t>, a Polish economist and synthesiser of Marx and Keyne</w:t>
      </w:r>
      <w:r w:rsidR="00FB5047">
        <w:t>s.  His equation is simply that:</w:t>
      </w:r>
    </w:p>
    <w:p w:rsidR="00FB5047" w:rsidRDefault="0013605B" w:rsidP="00F67C88">
      <w:r>
        <w:t>Profits = Investment; or more importantly, profits</w:t>
      </w:r>
      <w:r w:rsidR="00DF5A26">
        <w:t xml:space="preserve"> </w:t>
      </w:r>
      <w:r>
        <w:rPr>
          <w:u w:val="single"/>
        </w:rPr>
        <w:t>depend</w:t>
      </w:r>
      <w:r w:rsidR="00DF5A26">
        <w:rPr>
          <w:u w:val="single"/>
        </w:rPr>
        <w:t xml:space="preserve"> </w:t>
      </w:r>
      <w:r>
        <w:t>on investment.</w:t>
      </w:r>
      <w:r w:rsidR="00DF5A26">
        <w:t xml:space="preserve">  </w:t>
      </w:r>
    </w:p>
    <w:p w:rsidR="0013605B" w:rsidRPr="000A5967" w:rsidRDefault="0013605B" w:rsidP="00F67C88">
      <w:r>
        <w:t>As a recent paper</w:t>
      </w:r>
      <w:r w:rsidR="000A5967">
        <w:t xml:space="preserve"> by James </w:t>
      </w:r>
      <w:proofErr w:type="spellStart"/>
      <w:r w:rsidR="000A5967">
        <w:t>Montier</w:t>
      </w:r>
      <w:proofErr w:type="spellEnd"/>
      <w:r w:rsidR="007C274F">
        <w:rPr>
          <w:rStyle w:val="EndnoteReference"/>
          <w:rFonts w:ascii="Verdana" w:hAnsi="Verdana"/>
          <w:color w:val="333333"/>
          <w:sz w:val="25"/>
          <w:szCs w:val="25"/>
        </w:rPr>
        <w:endnoteReference w:id="6"/>
      </w:r>
      <w:r>
        <w:t xml:space="preserve"> succin</w:t>
      </w:r>
      <w:r w:rsidR="000A5967">
        <w:t>c</w:t>
      </w:r>
      <w:r>
        <w:t>tly</w:t>
      </w:r>
      <w:r w:rsidR="000A5967">
        <w:t xml:space="preserve"> put it</w:t>
      </w:r>
      <w:r>
        <w:t>:</w:t>
      </w:r>
      <w:r w:rsidR="000A5967">
        <w:rPr>
          <w:rStyle w:val="apple-converted-space"/>
          <w:rFonts w:ascii="Verdana" w:hAnsi="Verdana"/>
          <w:color w:val="333333"/>
          <w:sz w:val="25"/>
          <w:szCs w:val="25"/>
        </w:rPr>
        <w:t xml:space="preserve"> </w:t>
      </w:r>
      <w:r w:rsidRPr="007E4EFF">
        <w:rPr>
          <w:i/>
        </w:rPr>
        <w:t>“This is, of course, an identity – a truism by construction.</w:t>
      </w:r>
      <w:r w:rsidR="000A5967" w:rsidRPr="007E4EFF">
        <w:rPr>
          <w:i/>
        </w:rPr>
        <w:t xml:space="preserve"> </w:t>
      </w:r>
      <w:r w:rsidRPr="007E4EFF">
        <w:rPr>
          <w:i/>
        </w:rPr>
        <w:t xml:space="preserve"> However it can be interpreted with some causality imposed.  After all, profits are a </w:t>
      </w:r>
      <w:r w:rsidRPr="007E4EFF">
        <w:rPr>
          <w:i/>
        </w:rPr>
        <w:lastRenderedPageBreak/>
        <w:t xml:space="preserve">residual: they are reminder after the factors of production have been paid.” </w:t>
      </w:r>
      <w:proofErr w:type="spellStart"/>
      <w:r w:rsidRPr="000A5967">
        <w:t>Montier</w:t>
      </w:r>
      <w:proofErr w:type="spellEnd"/>
      <w:r w:rsidRPr="000A5967">
        <w:t xml:space="preserve"> goes on:</w:t>
      </w:r>
      <w:r w:rsidR="007E4EFF">
        <w:t xml:space="preserve"> </w:t>
      </w:r>
      <w:r w:rsidRPr="007E4EFF">
        <w:rPr>
          <w:i/>
        </w:rPr>
        <w:t xml:space="preserve">“Investment drives profits because when a firm or a household decides to invest in some real asset they are effectively buying a good from another firm, creating profits for that entity.” </w:t>
      </w:r>
      <w:r w:rsidRPr="000A5967">
        <w:t xml:space="preserve">So it seems that profits </w:t>
      </w:r>
      <w:r w:rsidR="007E4EFF">
        <w:t xml:space="preserve">are a ‘residual’ and </w:t>
      </w:r>
      <w:r w:rsidRPr="000A5967">
        <w:t xml:space="preserve">come from </w:t>
      </w:r>
      <w:r w:rsidR="007E4EFF">
        <w:t xml:space="preserve">consumers </w:t>
      </w:r>
      <w:r w:rsidRPr="000A5967">
        <w:t>buying things</w:t>
      </w:r>
      <w:r w:rsidR="007E4EFF">
        <w:t xml:space="preserve"> or services </w:t>
      </w:r>
      <w:r w:rsidRPr="000A5967">
        <w:t>and not from surplus value created in the labour process, as Marx argued.</w:t>
      </w:r>
    </w:p>
    <w:p w:rsidR="00F05B17" w:rsidRDefault="0013605B" w:rsidP="00F67C88">
      <w:r w:rsidRPr="000A5967">
        <w:t xml:space="preserve">This argument is spelt out even more explicitly, by David Levy, Martin Farnham and Samira Ryan at </w:t>
      </w:r>
      <w:r w:rsidR="007C274F" w:rsidRPr="000A5967">
        <w:t>t</w:t>
      </w:r>
      <w:r w:rsidRPr="000A5967">
        <w:t xml:space="preserve">he Jerome Levy Forecasting </w:t>
      </w:r>
      <w:proofErr w:type="spellStart"/>
      <w:r w:rsidRPr="000A5967">
        <w:t>Center</w:t>
      </w:r>
      <w:proofErr w:type="spellEnd"/>
      <w:r w:rsidR="007C274F" w:rsidRPr="00C75EEF">
        <w:rPr>
          <w:sz w:val="20"/>
          <w:vertAlign w:val="superscript"/>
        </w:rPr>
        <w:endnoteReference w:id="7"/>
      </w:r>
      <w:r w:rsidRPr="000A5967">
        <w:t>.  The authors state that the profits equation identifies the </w:t>
      </w:r>
      <w:r w:rsidRPr="007E4EFF">
        <w:rPr>
          <w:i/>
        </w:rPr>
        <w:t xml:space="preserve">“sources of profits = investment, non-business saving (households), dividends and profit taxes.”  </w:t>
      </w:r>
    </w:p>
    <w:p w:rsidR="0013605B" w:rsidRDefault="002550DB" w:rsidP="00F67C88">
      <w:pPr>
        <w:rPr>
          <w:rFonts w:ascii="Verdana" w:hAnsi="Verdana"/>
          <w:color w:val="333333"/>
          <w:sz w:val="25"/>
          <w:szCs w:val="25"/>
        </w:rPr>
      </w:pPr>
      <w:r>
        <w:t>First, t</w:t>
      </w:r>
      <w:r w:rsidR="00F05B17">
        <w:t xml:space="preserve">his suggests that </w:t>
      </w:r>
      <w:r w:rsidR="0013605B" w:rsidRPr="000A5967">
        <w:t xml:space="preserve">taxes on profits </w:t>
      </w:r>
      <w:r w:rsidR="00F05B17">
        <w:t>and dividends are</w:t>
      </w:r>
      <w:r w:rsidR="0013605B" w:rsidRPr="000A5967">
        <w:t xml:space="preserve"> a ‘source’ of profit</w:t>
      </w:r>
      <w:r w:rsidR="00F05B17">
        <w:t xml:space="preserve"> rather than part of profit</w:t>
      </w:r>
      <w:r w:rsidR="007E4EFF">
        <w:t>.</w:t>
      </w:r>
      <w:r w:rsidR="00F05B17">
        <w:t xml:space="preserve">  But </w:t>
      </w:r>
      <w:r>
        <w:t>if</w:t>
      </w:r>
      <w:r w:rsidR="00F05B17">
        <w:t xml:space="preserve"> we t</w:t>
      </w:r>
      <w:r w:rsidR="0013605B" w:rsidRPr="000A5967">
        <w:t xml:space="preserve">ake </w:t>
      </w:r>
      <w:r w:rsidR="00F05B17">
        <w:t>out taxes and dividends and</w:t>
      </w:r>
      <w:r w:rsidR="0013605B" w:rsidRPr="000A5967">
        <w:t xml:space="preserve"> assume workers don’t save</w:t>
      </w:r>
      <w:r>
        <w:t>,</w:t>
      </w:r>
      <w:r w:rsidR="0013605B" w:rsidRPr="000A5967">
        <w:t xml:space="preserve"> we are back to the ‘source’ of profit as investment.</w:t>
      </w:r>
      <w:r w:rsidR="007C274F">
        <w:rPr>
          <w:rFonts w:ascii="Verdana" w:hAnsi="Verdana"/>
          <w:color w:val="333333"/>
          <w:sz w:val="25"/>
          <w:szCs w:val="25"/>
        </w:rPr>
        <w:t xml:space="preserve">  </w:t>
      </w:r>
      <w:r w:rsidR="007E4EFF">
        <w:rPr>
          <w:rFonts w:ascii="Verdana" w:hAnsi="Verdana"/>
          <w:color w:val="333333"/>
          <w:sz w:val="25"/>
          <w:szCs w:val="25"/>
        </w:rPr>
        <w:t>”</w:t>
      </w:r>
      <w:r w:rsidR="007C274F" w:rsidRPr="007C274F">
        <w:rPr>
          <w:i/>
        </w:rPr>
        <w:t>After all, profits are a residual; they are the remainder after the factors of production have been paid.</w:t>
      </w:r>
      <w:r w:rsidR="007C274F">
        <w:t xml:space="preserve"> </w:t>
      </w:r>
      <w:r w:rsidR="007C274F" w:rsidRPr="007C274F">
        <w:rPr>
          <w:i/>
        </w:rPr>
        <w:t>Thus it can comfortably be argued that the left-hand side of the equation is determined by the right-hand side.</w:t>
      </w:r>
      <w:r w:rsidR="007C274F">
        <w:rPr>
          <w:i/>
        </w:rPr>
        <w:t>”</w:t>
      </w:r>
    </w:p>
    <w:p w:rsidR="00FB5047" w:rsidRDefault="002550DB" w:rsidP="00FB5047">
      <w:r>
        <w:rPr>
          <w:lang w:eastAsia="en-GB"/>
        </w:rPr>
        <w:t xml:space="preserve">Jose </w:t>
      </w:r>
      <w:r w:rsidR="00423743">
        <w:rPr>
          <w:lang w:eastAsia="en-GB"/>
        </w:rPr>
        <w:t>T</w:t>
      </w:r>
      <w:r w:rsidR="00423743">
        <w:t xml:space="preserve">apia points out that </w:t>
      </w:r>
      <w:r w:rsidR="00423743" w:rsidRPr="0025746C">
        <w:rPr>
          <w:i/>
          <w:iCs/>
          <w:lang w:eastAsia="en-GB"/>
        </w:rPr>
        <w:t>“for the whole Keynesian school, investment is the key variable explaining macroeconomic dynamics and leading the cycle.”</w:t>
      </w:r>
      <w:r w:rsidR="00FB5047">
        <w:rPr>
          <w:rStyle w:val="EndnoteReference"/>
          <w:i/>
          <w:iCs/>
          <w:lang w:eastAsia="en-GB"/>
        </w:rPr>
        <w:endnoteReference w:id="8"/>
      </w:r>
      <w:r w:rsidR="00423743" w:rsidRPr="0025746C">
        <w:rPr>
          <w:lang w:eastAsia="en-GB"/>
        </w:rPr>
        <w:t xml:space="preserve">  </w:t>
      </w:r>
      <w:r w:rsidR="00FB5047">
        <w:t xml:space="preserve">But if investment is the independent variable, according to Keynes, what causes a fall in investment? For Keynes, it is loss of ‘animal spirits’ among entrepreneurs, or a ‘lack of confidence’ in employing funds for investment.  As </w:t>
      </w:r>
      <w:proofErr w:type="spellStart"/>
      <w:r w:rsidR="00FB5047">
        <w:t>Minsky</w:t>
      </w:r>
      <w:proofErr w:type="spellEnd"/>
      <w:r w:rsidR="00FB5047">
        <w:t xml:space="preserve"> says, investment is dependent on</w:t>
      </w:r>
      <w:r w:rsidR="00FB5047">
        <w:rPr>
          <w:rStyle w:val="apple-converted-space"/>
          <w:rFonts w:ascii="Verdana" w:hAnsi="Verdana"/>
          <w:sz w:val="25"/>
          <w:szCs w:val="25"/>
        </w:rPr>
        <w:t xml:space="preserve"> </w:t>
      </w:r>
      <w:r w:rsidR="00FB5047" w:rsidRPr="0083440D">
        <w:rPr>
          <w:i/>
        </w:rPr>
        <w:t>“the subjective nature of expectations about the future course of investment, as well as the subjective determination of bankers and their business clients of the appropriate liability structure for the financing of positions in different types of capital assets”.</w:t>
      </w:r>
      <w:r w:rsidR="00FB5047">
        <w:rPr>
          <w:rStyle w:val="EndnoteReference"/>
          <w:i/>
        </w:rPr>
        <w:endnoteReference w:id="9"/>
      </w:r>
      <w:r w:rsidR="00FB5047" w:rsidRPr="0083440D">
        <w:rPr>
          <w:rStyle w:val="Emphasis"/>
          <w:rFonts w:ascii="Verdana" w:hAnsi="Verdana"/>
          <w:sz w:val="25"/>
          <w:szCs w:val="25"/>
        </w:rPr>
        <w:t> </w:t>
      </w:r>
      <w:r w:rsidR="00FB5047" w:rsidRPr="0083440D">
        <w:rPr>
          <w:rStyle w:val="apple-converted-space"/>
          <w:rFonts w:ascii="Verdana" w:hAnsi="Verdana"/>
          <w:sz w:val="25"/>
          <w:szCs w:val="25"/>
        </w:rPr>
        <w:t> </w:t>
      </w:r>
    </w:p>
    <w:p w:rsidR="00A44EDB" w:rsidRDefault="00423743" w:rsidP="00A44EDB">
      <w:pPr>
        <w:rPr>
          <w:lang w:eastAsia="en-GB"/>
        </w:rPr>
      </w:pPr>
      <w:r w:rsidRPr="0025746C">
        <w:rPr>
          <w:lang w:eastAsia="en-GB"/>
        </w:rPr>
        <w:t xml:space="preserve">Tapia shows, for the Keynesians, investment depends on the psychology of investors, which changes </w:t>
      </w:r>
      <w:r w:rsidRPr="002550DB">
        <w:rPr>
          <w:u w:val="single"/>
          <w:lang w:eastAsia="en-GB"/>
        </w:rPr>
        <w:t>for no apparent reason</w:t>
      </w:r>
      <w:r w:rsidRPr="0025746C">
        <w:rPr>
          <w:lang w:eastAsia="en-GB"/>
        </w:rPr>
        <w:t xml:space="preserve"> into a loss </w:t>
      </w:r>
      <w:r w:rsidR="002550DB">
        <w:rPr>
          <w:lang w:eastAsia="en-GB"/>
        </w:rPr>
        <w:t>of faith in expected profits.  P</w:t>
      </w:r>
      <w:r w:rsidRPr="0025746C">
        <w:rPr>
          <w:lang w:eastAsia="en-GB"/>
        </w:rPr>
        <w:t xml:space="preserve">rofits do appear in </w:t>
      </w:r>
      <w:r w:rsidR="002550DB">
        <w:rPr>
          <w:lang w:eastAsia="en-GB"/>
        </w:rPr>
        <w:t xml:space="preserve">the </w:t>
      </w:r>
      <w:r w:rsidRPr="0025746C">
        <w:rPr>
          <w:lang w:eastAsia="en-GB"/>
        </w:rPr>
        <w:t>Keynes-</w:t>
      </w:r>
      <w:proofErr w:type="spellStart"/>
      <w:r w:rsidRPr="0025746C">
        <w:rPr>
          <w:lang w:eastAsia="en-GB"/>
        </w:rPr>
        <w:t>Kalecki</w:t>
      </w:r>
      <w:proofErr w:type="spellEnd"/>
      <w:r w:rsidRPr="0025746C">
        <w:rPr>
          <w:lang w:eastAsia="en-GB"/>
        </w:rPr>
        <w:t xml:space="preserve"> analysis, but </w:t>
      </w:r>
      <w:r w:rsidRPr="0025746C">
        <w:rPr>
          <w:i/>
          <w:iCs/>
          <w:lang w:eastAsia="en-GB"/>
        </w:rPr>
        <w:t xml:space="preserve">“in </w:t>
      </w:r>
      <w:proofErr w:type="spellStart"/>
      <w:r w:rsidRPr="0025746C">
        <w:rPr>
          <w:i/>
          <w:iCs/>
          <w:lang w:eastAsia="en-GB"/>
        </w:rPr>
        <w:t>Kalecki</w:t>
      </w:r>
      <w:proofErr w:type="spellEnd"/>
      <w:r w:rsidRPr="0025746C">
        <w:rPr>
          <w:i/>
          <w:iCs/>
          <w:lang w:eastAsia="en-GB"/>
        </w:rPr>
        <w:t>, the determination is from investment to profits and in the relation there is little room, if any, for reverse causation.”</w:t>
      </w:r>
      <w:r w:rsidRPr="0025746C">
        <w:rPr>
          <w:lang w:eastAsia="en-GB"/>
        </w:rPr>
        <w:t> </w:t>
      </w:r>
    </w:p>
    <w:p w:rsidR="00A44EDB" w:rsidRDefault="00A44EDB" w:rsidP="00A44EDB">
      <w:r>
        <w:rPr>
          <w:lang w:eastAsia="en-GB"/>
        </w:rPr>
        <w:t>F</w:t>
      </w:r>
      <w:r>
        <w:t>or Keynes/</w:t>
      </w:r>
      <w:proofErr w:type="spellStart"/>
      <w:r>
        <w:t>Kalecki</w:t>
      </w:r>
      <w:proofErr w:type="spellEnd"/>
      <w:r>
        <w:t xml:space="preserve">, profit is the marginal product of ‘capital’, a ‘factor of production’.  There is no ‘exploitation’ of labour power involved.  Keynes’ theory of crisis assumes falling ‘marginal productivity’ due to the ‘abundance of capital’ and thus investment depends on the </w:t>
      </w:r>
      <w:r w:rsidR="002550DB">
        <w:t>‘</w:t>
      </w:r>
      <w:r>
        <w:t>marginal efficiency of capital</w:t>
      </w:r>
      <w:r w:rsidR="002550DB">
        <w:t>’</w:t>
      </w:r>
      <w:r>
        <w:t xml:space="preserve"> and ‘animal spirits’.  </w:t>
      </w:r>
      <w:r w:rsidRPr="007E4EFF">
        <w:rPr>
          <w:i/>
        </w:rPr>
        <w:t xml:space="preserve">“We have seen above,” </w:t>
      </w:r>
      <w:r>
        <w:t xml:space="preserve">Keynes wrote, </w:t>
      </w:r>
      <w:r w:rsidRPr="007E4EFF">
        <w:rPr>
          <w:i/>
        </w:rPr>
        <w:t>“that marginal efficiency of capital depends, not only on the existing abundance or scarcity of capital-goods and the current cost of production of capital-goods, but also on current expectations as to the future yield of capital-goods. In the case of durable assets it is, therefore, natural and reasonable that expectations of the future should play a dominant part in determining the scale on which new investment is deemed advisable. But, as we have seen, the basis for such expectations is very precarious. Being based on shifting and unreliable evidence, they are subject to sudden and violent changes.”</w:t>
      </w:r>
      <w:r>
        <w:t xml:space="preserve"> </w:t>
      </w:r>
      <w:r>
        <w:rPr>
          <w:rStyle w:val="EndnoteReference"/>
        </w:rPr>
        <w:endnoteReference w:id="10"/>
      </w:r>
    </w:p>
    <w:p w:rsidR="00A44EDB" w:rsidRDefault="00A44EDB" w:rsidP="00A44EDB">
      <w:pPr>
        <w:rPr>
          <w:shd w:val="clear" w:color="auto" w:fill="FFFFFF"/>
        </w:rPr>
      </w:pPr>
      <w:r>
        <w:rPr>
          <w:shd w:val="clear" w:color="auto" w:fill="FFFFFF"/>
        </w:rPr>
        <w:t xml:space="preserve">As Paul </w:t>
      </w:r>
      <w:proofErr w:type="spellStart"/>
      <w:r>
        <w:rPr>
          <w:shd w:val="clear" w:color="auto" w:fill="FFFFFF"/>
        </w:rPr>
        <w:t>Mattick</w:t>
      </w:r>
      <w:proofErr w:type="spellEnd"/>
      <w:r>
        <w:rPr>
          <w:shd w:val="clear" w:color="auto" w:fill="FFFFFF"/>
        </w:rPr>
        <w:t xml:space="preserve"> </w:t>
      </w:r>
      <w:proofErr w:type="spellStart"/>
      <w:r w:rsidR="002550DB">
        <w:rPr>
          <w:shd w:val="clear" w:color="auto" w:fill="FFFFFF"/>
        </w:rPr>
        <w:t>Snr</w:t>
      </w:r>
      <w:proofErr w:type="spellEnd"/>
      <w:r w:rsidR="002550DB">
        <w:rPr>
          <w:shd w:val="clear" w:color="auto" w:fill="FFFFFF"/>
        </w:rPr>
        <w:t xml:space="preserve"> </w:t>
      </w:r>
      <w:r>
        <w:rPr>
          <w:shd w:val="clear" w:color="auto" w:fill="FFFFFF"/>
        </w:rPr>
        <w:t xml:space="preserve">says, </w:t>
      </w:r>
      <w:r w:rsidRPr="007E4EFF">
        <w:rPr>
          <w:i/>
          <w:shd w:val="clear" w:color="auto" w:fill="FFFFFF"/>
        </w:rPr>
        <w:t>“what are we to make of an economic theory, which after all claimed to explain some of the fundamental problems of twentieth-century capitalism, which could declare: ‘In estimating the prospects of investment, we must have regard, therefore, to the nerves and hysteria and even the digestions and reactions to the weather of those upon whose spontaneous activity it largely depends’</w:t>
      </w:r>
      <w:r>
        <w:rPr>
          <w:shd w:val="clear" w:color="auto" w:fill="FFFFFF"/>
        </w:rPr>
        <w:t>?</w:t>
      </w:r>
      <w:r>
        <w:rPr>
          <w:rStyle w:val="EndnoteReference"/>
          <w:rFonts w:ascii="Georgia" w:hAnsi="Georgia"/>
          <w:color w:val="000000"/>
          <w:shd w:val="clear" w:color="auto" w:fill="FFFFFF"/>
        </w:rPr>
        <w:endnoteReference w:id="11"/>
      </w:r>
    </w:p>
    <w:p w:rsidR="00FB5047" w:rsidRDefault="002550DB" w:rsidP="00FB5047">
      <w:r>
        <w:lastRenderedPageBreak/>
        <w:t>But w</w:t>
      </w:r>
      <w:r w:rsidR="00F67C88">
        <w:t xml:space="preserve">hat if we turn the causal direction the other way: the Marxist way.  </w:t>
      </w:r>
      <w:r w:rsidR="00A44EDB">
        <w:t>Marx’s theory of value tells us that all value is created by labour and profit is a product of the exploitation of labour power and its appropriation by capital.  Then we have a theory of profit and investment based o</w:t>
      </w:r>
      <w:r w:rsidR="008B65A0">
        <w:t>n an objective causal analysis within</w:t>
      </w:r>
      <w:r w:rsidR="00A44EDB">
        <w:t xml:space="preserve"> a specific form of class society.  And n</w:t>
      </w:r>
      <w:r w:rsidR="00F67C88">
        <w:t>ow</w:t>
      </w:r>
      <w:r w:rsidR="007E4EFF">
        <w:t>,</w:t>
      </w:r>
      <w:r w:rsidR="00F67C88">
        <w:t xml:space="preserve"> investment in an economy </w:t>
      </w:r>
      <w:r w:rsidR="00F67C88" w:rsidRPr="00FB5047">
        <w:rPr>
          <w:u w:val="single"/>
        </w:rPr>
        <w:t xml:space="preserve">depends </w:t>
      </w:r>
      <w:r w:rsidR="00F67C88">
        <w:t>on profits</w:t>
      </w:r>
      <w:r w:rsidR="00635D41">
        <w:t>.</w:t>
      </w:r>
      <w:r w:rsidR="00FB5047">
        <w:t> </w:t>
      </w:r>
    </w:p>
    <w:p w:rsidR="007E4EFF" w:rsidRDefault="007F6E12" w:rsidP="007F6E12">
      <w:r>
        <w:t>With Marx</w:t>
      </w:r>
      <w:r w:rsidR="00A44EDB">
        <w:t>,</w:t>
      </w:r>
      <w:r>
        <w:t xml:space="preserve"> profit is the result of the exploitation of labour (power) and thus is logically prior to investment.  But it is also temporally prior.  If we adopt a theory that profits cause or lead investment, that </w:t>
      </w:r>
      <w:r w:rsidR="007E4EFF">
        <w:t>‘</w:t>
      </w:r>
      <w:r>
        <w:t>profits call the tune</w:t>
      </w:r>
      <w:r w:rsidR="007E4EFF">
        <w:t>’</w:t>
      </w:r>
      <w:r>
        <w:t xml:space="preserve">, not investment, then we can construct a reasonably plausible cycle of profit, investment and economic activity.  </w:t>
      </w:r>
    </w:p>
    <w:p w:rsidR="00A44EDB" w:rsidRPr="007E4EFF" w:rsidRDefault="00A44EDB" w:rsidP="00A44EDB">
      <w:pPr>
        <w:rPr>
          <w:u w:val="single"/>
        </w:rPr>
      </w:pPr>
      <w:proofErr w:type="gramStart"/>
      <w:r w:rsidRPr="007E4EFF">
        <w:rPr>
          <w:u w:val="single"/>
        </w:rPr>
        <w:t>Figure 2.</w:t>
      </w:r>
      <w:proofErr w:type="gramEnd"/>
      <w:r w:rsidRPr="007E4EFF">
        <w:rPr>
          <w:u w:val="single"/>
        </w:rPr>
        <w:t xml:space="preserve"> The </w:t>
      </w:r>
      <w:r>
        <w:rPr>
          <w:u w:val="single"/>
        </w:rPr>
        <w:t>p</w:t>
      </w:r>
      <w:r w:rsidRPr="007E4EFF">
        <w:rPr>
          <w:u w:val="single"/>
        </w:rPr>
        <w:t>rofit cycle</w:t>
      </w:r>
    </w:p>
    <w:p w:rsidR="00A44EDB" w:rsidRDefault="00A44EDB" w:rsidP="007F6E12">
      <w:r w:rsidRPr="0099407E">
        <w:rPr>
          <w:noProof/>
          <w:lang w:eastAsia="en-GB"/>
        </w:rPr>
        <w:drawing>
          <wp:inline distT="0" distB="0" distL="0" distR="0" wp14:anchorId="0B2CB2C1" wp14:editId="4CD24DEF">
            <wp:extent cx="5581650" cy="2828925"/>
            <wp:effectExtent l="0" t="0" r="0" b="9525"/>
            <wp:docPr id="4" name="Content Placeholder 3" descr="C:\Users\ToshibaT\Documents\POSTS TO DO\Profit cycl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Content Placeholder 3" descr="C:\Users\ToshibaT\Documents\POSTS TO DO\Profit cycle.png"/>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81650" cy="2828925"/>
                    </a:xfrm>
                    <a:prstGeom prst="rect">
                      <a:avLst/>
                    </a:prstGeom>
                    <a:noFill/>
                    <a:ln>
                      <a:noFill/>
                    </a:ln>
                  </pic:spPr>
                </pic:pic>
              </a:graphicData>
            </a:graphic>
          </wp:inline>
        </w:drawing>
      </w:r>
    </w:p>
    <w:p w:rsidR="007F6E12" w:rsidRDefault="007F6E12" w:rsidP="007F6E12">
      <w:r>
        <w:t>In Figure 2, we start at the moment of economic boom.  Profitability starts to fall, eventually leading to a slowdown in the growth of the mass of profits, even to the point of contraction.  It is this that provokes a collapse in investment.  Only after that does consumption and employment fall – the condition of the lack of effective demand is reached.  This is triggered by or triggers a collapse in financial assets.  With the devaluation of capital (the value of means of production and labour power), profitability is restored for those capitals still surviving and the mass of profits rises, reviving investment, output and employment.</w:t>
      </w:r>
    </w:p>
    <w:p w:rsidR="00F67C88" w:rsidRPr="007E4EFF" w:rsidRDefault="000B478A" w:rsidP="00F67C88">
      <w:pPr>
        <w:rPr>
          <w:u w:val="single"/>
        </w:rPr>
      </w:pPr>
      <w:r>
        <w:rPr>
          <w:u w:val="single"/>
        </w:rPr>
        <w:t>2. THE EVIDENCE: KEYNES VERSUS MARX</w:t>
      </w:r>
    </w:p>
    <w:p w:rsidR="007F6E12" w:rsidRDefault="007F6E12" w:rsidP="00F67C88">
      <w:r>
        <w:t xml:space="preserve">Can we offer empirical evidence in support of the Marxist profit-investment nexus?  </w:t>
      </w:r>
    </w:p>
    <w:p w:rsidR="007F6E12" w:rsidRDefault="00CF5387" w:rsidP="00F67C88">
      <w:r>
        <w:t xml:space="preserve">First, it is clear from the evidence that there has been a secular fall in the rate of profit in the major capitalist economies and this has not been caused by an “abundance of capital” relative to output, as </w:t>
      </w:r>
      <w:r w:rsidR="007E4EFF">
        <w:t>‘</w:t>
      </w:r>
      <w:proofErr w:type="spellStart"/>
      <w:r>
        <w:t>marginalist</w:t>
      </w:r>
      <w:proofErr w:type="spellEnd"/>
      <w:r w:rsidR="007E4EFF">
        <w:t>’</w:t>
      </w:r>
      <w:r>
        <w:t xml:space="preserve"> Keynesian theory would argue.  </w:t>
      </w:r>
      <w:proofErr w:type="spellStart"/>
      <w:r>
        <w:t>Shaikh</w:t>
      </w:r>
      <w:proofErr w:type="spellEnd"/>
      <w:r>
        <w:t xml:space="preserve"> shows that the US corporate rate of profit has fallen in the post-1945 period even more than the official data </w:t>
      </w:r>
      <w:r w:rsidR="007E4EFF">
        <w:t xml:space="preserve">(NIPA) </w:t>
      </w:r>
      <w:r w:rsidR="008B65A0">
        <w:t>would show</w:t>
      </w:r>
      <w:r>
        <w:rPr>
          <w:rStyle w:val="EndnoteReference"/>
        </w:rPr>
        <w:endnoteReference w:id="12"/>
      </w:r>
      <w:r>
        <w:t xml:space="preserve">.  Indeed, the so-called neoliberal period </w:t>
      </w:r>
      <w:r w:rsidR="007E4EFF">
        <w:t xml:space="preserve">from the early 1980s </w:t>
      </w:r>
      <w:r>
        <w:t>only consolidated a</w:t>
      </w:r>
      <w:r w:rsidR="00A44EDB">
        <w:t>t an historic</w:t>
      </w:r>
      <w:r>
        <w:t xml:space="preserve"> low level of profitability (Figure 3).</w:t>
      </w:r>
    </w:p>
    <w:p w:rsidR="007E4EFF" w:rsidRPr="007E4EFF" w:rsidRDefault="007E4EFF" w:rsidP="00F67C88">
      <w:pPr>
        <w:rPr>
          <w:u w:val="single"/>
        </w:rPr>
      </w:pPr>
      <w:proofErr w:type="gramStart"/>
      <w:r w:rsidRPr="007E4EFF">
        <w:rPr>
          <w:u w:val="single"/>
        </w:rPr>
        <w:lastRenderedPageBreak/>
        <w:t>Figure 3.</w:t>
      </w:r>
      <w:proofErr w:type="gramEnd"/>
      <w:r w:rsidRPr="007E4EFF">
        <w:rPr>
          <w:u w:val="single"/>
        </w:rPr>
        <w:t xml:space="preserve"> US corporate rate of profit (%), NIPA and </w:t>
      </w:r>
      <w:proofErr w:type="spellStart"/>
      <w:r w:rsidRPr="007E4EFF">
        <w:rPr>
          <w:u w:val="single"/>
        </w:rPr>
        <w:t>Shaikh</w:t>
      </w:r>
      <w:proofErr w:type="spellEnd"/>
      <w:r w:rsidRPr="007E4EFF">
        <w:rPr>
          <w:u w:val="single"/>
        </w:rPr>
        <w:t xml:space="preserve"> estimates</w:t>
      </w:r>
    </w:p>
    <w:p w:rsidR="002408D3" w:rsidRDefault="002408D3" w:rsidP="00F67C88">
      <w:r w:rsidRPr="002408D3">
        <w:rPr>
          <w:noProof/>
          <w:lang w:eastAsia="en-GB"/>
        </w:rPr>
        <w:drawing>
          <wp:inline distT="0" distB="0" distL="0" distR="0" wp14:anchorId="53FA1D70" wp14:editId="3D4841B5">
            <wp:extent cx="5732155" cy="2505075"/>
            <wp:effectExtent l="0" t="0" r="1905" b="0"/>
            <wp:docPr id="102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Grp="1"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1510" cy="2504793"/>
                    </a:xfrm>
                    <a:prstGeom prst="rect">
                      <a:avLst/>
                    </a:prstGeom>
                    <a:noFill/>
                    <a:ln>
                      <a:noFill/>
                    </a:ln>
                    <a:effectLst/>
                    <a:extLst/>
                  </pic:spPr>
                </pic:pic>
              </a:graphicData>
            </a:graphic>
          </wp:inline>
        </w:drawing>
      </w:r>
    </w:p>
    <w:p w:rsidR="007E4EFF" w:rsidRPr="007E4EFF" w:rsidRDefault="007E4EFF" w:rsidP="00F67C88">
      <w:pPr>
        <w:rPr>
          <w:i/>
        </w:rPr>
      </w:pPr>
      <w:r w:rsidRPr="007E4EFF">
        <w:rPr>
          <w:i/>
        </w:rPr>
        <w:t xml:space="preserve">Source: </w:t>
      </w:r>
      <w:r>
        <w:rPr>
          <w:i/>
        </w:rPr>
        <w:t xml:space="preserve">BEA, NIPA, </w:t>
      </w:r>
      <w:proofErr w:type="spellStart"/>
      <w:r w:rsidRPr="007E4EFF">
        <w:rPr>
          <w:i/>
        </w:rPr>
        <w:t>Shaikh</w:t>
      </w:r>
      <w:proofErr w:type="spellEnd"/>
      <w:r w:rsidRPr="007E4EFF">
        <w:rPr>
          <w:i/>
        </w:rPr>
        <w:t xml:space="preserve">, Capitalism, see appendix for </w:t>
      </w:r>
      <w:proofErr w:type="spellStart"/>
      <w:r w:rsidRPr="007E4EFF">
        <w:rPr>
          <w:i/>
        </w:rPr>
        <w:t>Shaikh’s</w:t>
      </w:r>
      <w:proofErr w:type="spellEnd"/>
      <w:r w:rsidRPr="007E4EFF">
        <w:rPr>
          <w:i/>
        </w:rPr>
        <w:t xml:space="preserve"> workings</w:t>
      </w:r>
    </w:p>
    <w:p w:rsidR="00CF5387" w:rsidRDefault="000B478A" w:rsidP="00F67C88">
      <w:r>
        <w:t>For</w:t>
      </w:r>
      <w:r w:rsidR="00CF5387">
        <w:t xml:space="preserve"> the G7 economies as a whole</w:t>
      </w:r>
      <w:r w:rsidR="00A44EDB">
        <w:t xml:space="preserve"> (and including fictitious profits)</w:t>
      </w:r>
      <w:r w:rsidR="00CF5387">
        <w:t xml:space="preserve">, </w:t>
      </w:r>
      <w:r w:rsidR="00F739E6">
        <w:t xml:space="preserve">the recovery in profitability during the neo-liberal period came to an end in the early 2000s, setting the scene for the Great Recession of 2008-9 (Figure </w:t>
      </w:r>
      <w:r w:rsidR="008B65A0">
        <w:t>4</w:t>
      </w:r>
      <w:r w:rsidR="00F739E6">
        <w:t>)</w:t>
      </w:r>
      <w:r w:rsidR="00A976BB">
        <w:rPr>
          <w:rStyle w:val="EndnoteReference"/>
        </w:rPr>
        <w:endnoteReference w:id="13"/>
      </w:r>
      <w:r w:rsidR="00F739E6">
        <w:t>.</w:t>
      </w:r>
    </w:p>
    <w:p w:rsidR="00F739E6" w:rsidRPr="00A976BB" w:rsidRDefault="008B65A0" w:rsidP="00F67C88">
      <w:pPr>
        <w:rPr>
          <w:u w:val="single"/>
        </w:rPr>
      </w:pPr>
      <w:proofErr w:type="gramStart"/>
      <w:r>
        <w:rPr>
          <w:u w:val="single"/>
        </w:rPr>
        <w:t>Figure 4</w:t>
      </w:r>
      <w:r w:rsidR="00F739E6" w:rsidRPr="00A976BB">
        <w:rPr>
          <w:u w:val="single"/>
        </w:rPr>
        <w:t>.</w:t>
      </w:r>
      <w:proofErr w:type="gramEnd"/>
      <w:r w:rsidR="00A976BB" w:rsidRPr="00A976BB">
        <w:rPr>
          <w:u w:val="single"/>
        </w:rPr>
        <w:t xml:space="preserve"> G7 rate of profit from Penn World tables (%)</w:t>
      </w:r>
    </w:p>
    <w:p w:rsidR="00CF5387" w:rsidRDefault="00CF5387" w:rsidP="00F67C88">
      <w:r>
        <w:rPr>
          <w:noProof/>
          <w:lang w:eastAsia="en-GB"/>
        </w:rPr>
        <w:drawing>
          <wp:inline distT="0" distB="0" distL="0" distR="0" wp14:anchorId="1F0A9321" wp14:editId="73BB14C7">
            <wp:extent cx="5733461" cy="3124200"/>
            <wp:effectExtent l="0" t="0" r="63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3123137"/>
                    </a:xfrm>
                    <a:prstGeom prst="rect">
                      <a:avLst/>
                    </a:prstGeom>
                    <a:noFill/>
                    <a:ln>
                      <a:noFill/>
                    </a:ln>
                  </pic:spPr>
                </pic:pic>
              </a:graphicData>
            </a:graphic>
          </wp:inline>
        </w:drawing>
      </w:r>
    </w:p>
    <w:p w:rsidR="00A976BB" w:rsidRPr="00A976BB" w:rsidRDefault="00A976BB" w:rsidP="00F67C88">
      <w:pPr>
        <w:rPr>
          <w:i/>
        </w:rPr>
      </w:pPr>
      <w:r w:rsidRPr="00A976BB">
        <w:rPr>
          <w:i/>
        </w:rPr>
        <w:t>Source: Author’s calculations – see endnote</w:t>
      </w:r>
    </w:p>
    <w:p w:rsidR="00F67C88" w:rsidRDefault="007854B2" w:rsidP="00F67C88">
      <w:r>
        <w:t xml:space="preserve">But what is the empirical relation to investment?  </w:t>
      </w:r>
      <w:proofErr w:type="spellStart"/>
      <w:r w:rsidR="00F67C88">
        <w:t>Kliman</w:t>
      </w:r>
      <w:proofErr w:type="spellEnd"/>
      <w:r w:rsidR="00CF5387">
        <w:t xml:space="preserve"> and Williams</w:t>
      </w:r>
      <w:r w:rsidR="00F67C88">
        <w:t xml:space="preserve"> </w:t>
      </w:r>
      <w:r>
        <w:t>show that the fall in US profitability can be closely correlated to a fall in business investment rates</w:t>
      </w:r>
      <w:r w:rsidR="00FB2950">
        <w:t xml:space="preserve"> as long as we exclude financial profits</w:t>
      </w:r>
      <w:r>
        <w:t>.</w:t>
      </w:r>
      <w:r>
        <w:rPr>
          <w:rStyle w:val="EndnoteReference"/>
        </w:rPr>
        <w:endnoteReference w:id="14"/>
      </w:r>
      <w:r w:rsidR="00F67C88">
        <w:t xml:space="preserve"> </w:t>
      </w:r>
    </w:p>
    <w:p w:rsidR="008B65A0" w:rsidRDefault="008B65A0" w:rsidP="008B65A0">
      <w:r>
        <w:lastRenderedPageBreak/>
        <w:t>Similarly, Peter Jones has shown that if the ‘fictitious’ components of profitability are removed from the calculation of the US corporate rate of profit, then the ‘underlying’ rate of profit has never been lower (Figure 5)</w:t>
      </w:r>
      <w:r>
        <w:rPr>
          <w:rStyle w:val="EndnoteReference"/>
        </w:rPr>
        <w:endnoteReference w:id="15"/>
      </w:r>
      <w:r>
        <w:t>.</w:t>
      </w:r>
    </w:p>
    <w:p w:rsidR="008B65A0" w:rsidRPr="00A976BB" w:rsidRDefault="008B65A0" w:rsidP="008B65A0">
      <w:pPr>
        <w:rPr>
          <w:u w:val="single"/>
        </w:rPr>
      </w:pPr>
      <w:proofErr w:type="gramStart"/>
      <w:r>
        <w:rPr>
          <w:u w:val="single"/>
        </w:rPr>
        <w:t>Figure 5</w:t>
      </w:r>
      <w:r w:rsidRPr="00A976BB">
        <w:rPr>
          <w:u w:val="single"/>
        </w:rPr>
        <w:t>.</w:t>
      </w:r>
      <w:proofErr w:type="gramEnd"/>
      <w:r w:rsidRPr="00A976BB">
        <w:rPr>
          <w:u w:val="single"/>
        </w:rPr>
        <w:t xml:space="preserve"> The US rate of profit</w:t>
      </w:r>
      <w:r>
        <w:rPr>
          <w:u w:val="single"/>
        </w:rPr>
        <w:t xml:space="preserve"> (excluding ‘fictitious profits’) %</w:t>
      </w:r>
    </w:p>
    <w:p w:rsidR="008B65A0" w:rsidRDefault="008B65A0" w:rsidP="008B65A0">
      <w:r w:rsidRPr="002408D3">
        <w:rPr>
          <w:noProof/>
          <w:lang w:eastAsia="en-GB"/>
        </w:rPr>
        <w:drawing>
          <wp:inline distT="0" distB="0" distL="0" distR="0" wp14:anchorId="2C1D6F98" wp14:editId="004EDC4F">
            <wp:extent cx="5731510" cy="3386857"/>
            <wp:effectExtent l="0" t="0" r="2540" b="4445"/>
            <wp:docPr id="10" name="Content Placeholder 3"/>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386857"/>
                    </a:xfrm>
                    <a:prstGeom prst="rect">
                      <a:avLst/>
                    </a:prstGeom>
                    <a:noFill/>
                    <a:ln>
                      <a:noFill/>
                    </a:ln>
                  </pic:spPr>
                </pic:pic>
              </a:graphicData>
            </a:graphic>
          </wp:inline>
        </w:drawing>
      </w:r>
    </w:p>
    <w:p w:rsidR="008B65A0" w:rsidRPr="00A976BB" w:rsidRDefault="008B65A0" w:rsidP="008B65A0">
      <w:pPr>
        <w:rPr>
          <w:i/>
        </w:rPr>
      </w:pPr>
      <w:r w:rsidRPr="00A976BB">
        <w:rPr>
          <w:i/>
        </w:rPr>
        <w:t xml:space="preserve">Source: Jones op </w:t>
      </w:r>
      <w:proofErr w:type="spellStart"/>
      <w:r w:rsidRPr="00A976BB">
        <w:rPr>
          <w:i/>
        </w:rPr>
        <w:t>cit</w:t>
      </w:r>
      <w:proofErr w:type="spellEnd"/>
    </w:p>
    <w:p w:rsidR="002408D3" w:rsidRPr="00A44EDB" w:rsidRDefault="00FB2950" w:rsidP="00F67C88">
      <w:r w:rsidRPr="00A44EDB">
        <w:t>Again, if we look at G7 economies, we find that business investment to GDP has been falling along with profitability of capital</w:t>
      </w:r>
      <w:r w:rsidR="00A976BB" w:rsidRPr="00A44EDB">
        <w:t>,</w:t>
      </w:r>
      <w:r w:rsidRPr="00A44EDB">
        <w:t xml:space="preserve"> if fictitious profits accumulated in the credit boom of the early 2000s are excluded (Figure 6).</w:t>
      </w:r>
    </w:p>
    <w:p w:rsidR="00FB2950" w:rsidRPr="00A44EDB" w:rsidRDefault="00FB2950" w:rsidP="00F67C88">
      <w:pPr>
        <w:rPr>
          <w:u w:val="single"/>
        </w:rPr>
      </w:pPr>
      <w:r w:rsidRPr="00A44EDB">
        <w:rPr>
          <w:u w:val="single"/>
        </w:rPr>
        <w:t>Figure 6.</w:t>
      </w:r>
      <w:r w:rsidR="00A976BB" w:rsidRPr="00A44EDB">
        <w:rPr>
          <w:u w:val="single"/>
        </w:rPr>
        <w:t xml:space="preserve">  G7 rate of profit and investment to GDP (%)</w:t>
      </w:r>
    </w:p>
    <w:p w:rsidR="00FB2950" w:rsidRDefault="007854B2" w:rsidP="00F67C88">
      <w:r>
        <w:rPr>
          <w:noProof/>
          <w:lang w:eastAsia="en-GB"/>
        </w:rPr>
        <w:drawing>
          <wp:inline distT="0" distB="0" distL="0" distR="0" wp14:anchorId="50EB9CED" wp14:editId="79F0226F">
            <wp:extent cx="5724524" cy="2762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1510" cy="2765621"/>
                    </a:xfrm>
                    <a:prstGeom prst="rect">
                      <a:avLst/>
                    </a:prstGeom>
                    <a:noFill/>
                    <a:ln>
                      <a:noFill/>
                    </a:ln>
                  </pic:spPr>
                </pic:pic>
              </a:graphicData>
            </a:graphic>
          </wp:inline>
        </w:drawing>
      </w:r>
    </w:p>
    <w:p w:rsidR="00A976BB" w:rsidRPr="00A976BB" w:rsidRDefault="00A976BB" w:rsidP="00F67C88">
      <w:pPr>
        <w:rPr>
          <w:i/>
        </w:rPr>
      </w:pPr>
      <w:r w:rsidRPr="00A976BB">
        <w:rPr>
          <w:i/>
        </w:rPr>
        <w:lastRenderedPageBreak/>
        <w:t>Source:  see figure note</w:t>
      </w:r>
    </w:p>
    <w:p w:rsidR="00403EE2" w:rsidRDefault="00FB2950" w:rsidP="002C7367">
      <w:r>
        <w:t xml:space="preserve">These and other studies by Marxist economists have been supported on occasion by mainstream research.  </w:t>
      </w:r>
      <w:r w:rsidR="002408D3" w:rsidRPr="00FB2950">
        <w:t>For example, mainstream economists</w:t>
      </w:r>
      <w:r>
        <w:t>,</w:t>
      </w:r>
      <w:r w:rsidR="002408D3" w:rsidRPr="00FB2950">
        <w:t xml:space="preserve"> Kothari, </w:t>
      </w:r>
      <w:proofErr w:type="spellStart"/>
      <w:r w:rsidR="002408D3" w:rsidRPr="00FB2950">
        <w:t>Lewellen</w:t>
      </w:r>
      <w:proofErr w:type="spellEnd"/>
      <w:r w:rsidR="002408D3" w:rsidRPr="00FB2950">
        <w:t xml:space="preserve"> and Warner, found</w:t>
      </w:r>
      <w:r w:rsidR="00A44EDB">
        <w:t xml:space="preserve"> </w:t>
      </w:r>
      <w:r w:rsidR="002408D3" w:rsidRPr="00FB2950">
        <w:t>a close causal correlation between the movement in US business investment and business profitability</w:t>
      </w:r>
      <w:r>
        <w:rPr>
          <w:rStyle w:val="EndnoteReference"/>
        </w:rPr>
        <w:endnoteReference w:id="16"/>
      </w:r>
      <w:r w:rsidR="002408D3" w:rsidRPr="00FB2950">
        <w:t xml:space="preserve">. </w:t>
      </w:r>
      <w:r w:rsidR="00A976BB">
        <w:t xml:space="preserve"> </w:t>
      </w:r>
      <w:r w:rsidR="002C7367">
        <w:t>The</w:t>
      </w:r>
      <w:r w:rsidR="00403EE2">
        <w:t xml:space="preserve"> authors show </w:t>
      </w:r>
      <w:r w:rsidR="002C7367">
        <w:t xml:space="preserve">that </w:t>
      </w:r>
      <w:r w:rsidR="00403EE2">
        <w:t>the return on total assets of US non-financial companies (measured as after-tax profits as a percentage of assets – red dotted line); and the rate of fixed investment against total assets (blue line) fell secularly from the 1950s, reaching a low in the mid-1980s and then consolidating or rising a little after that</w:t>
      </w:r>
      <w:r w:rsidR="002C7367">
        <w:t xml:space="preserve"> (Figure 7)</w:t>
      </w:r>
      <w:r w:rsidR="00403EE2">
        <w:t>.</w:t>
      </w:r>
    </w:p>
    <w:p w:rsidR="00403EE2" w:rsidRPr="00A976BB" w:rsidRDefault="002C7367" w:rsidP="002C7367">
      <w:pPr>
        <w:rPr>
          <w:u w:val="single"/>
        </w:rPr>
      </w:pPr>
      <w:r w:rsidRPr="00A976BB">
        <w:rPr>
          <w:u w:val="single"/>
        </w:rPr>
        <w:t xml:space="preserve">Figure 7. </w:t>
      </w:r>
      <w:r w:rsidR="00403EE2" w:rsidRPr="00A976BB">
        <w:rPr>
          <w:u w:val="single"/>
        </w:rPr>
        <w:t>Quarterly fixed investment (</w:t>
      </w:r>
      <w:proofErr w:type="spellStart"/>
      <w:r w:rsidR="00403EE2" w:rsidRPr="00A976BB">
        <w:rPr>
          <w:u w:val="single"/>
        </w:rPr>
        <w:t>Capx</w:t>
      </w:r>
      <w:proofErr w:type="spellEnd"/>
      <w:r w:rsidR="00403EE2" w:rsidRPr="00A976BB">
        <w:rPr>
          <w:u w:val="single"/>
        </w:rPr>
        <w:t>) and after-tax profits (NI) scaled by lagged total assets for nonfinancial corporations from 1952–2010.</w:t>
      </w:r>
    </w:p>
    <w:p w:rsidR="00403EE2" w:rsidRDefault="00403EE2" w:rsidP="00403EE2">
      <w:pPr>
        <w:pStyle w:val="NormalWeb"/>
        <w:jc w:val="both"/>
        <w:rPr>
          <w:rFonts w:ascii="Verdana" w:hAnsi="Verdana"/>
          <w:color w:val="333333"/>
          <w:sz w:val="25"/>
          <w:szCs w:val="25"/>
        </w:rPr>
      </w:pPr>
      <w:r>
        <w:rPr>
          <w:rFonts w:ascii="Verdana" w:hAnsi="Verdana"/>
          <w:noProof/>
          <w:color w:val="B85B5A"/>
          <w:sz w:val="25"/>
          <w:szCs w:val="25"/>
        </w:rPr>
        <w:drawing>
          <wp:inline distT="0" distB="0" distL="0" distR="0">
            <wp:extent cx="4288790" cy="1598930"/>
            <wp:effectExtent l="0" t="0" r="0" b="1270"/>
            <wp:docPr id="14" name="Picture 14" descr="Profitability and investment">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fitability and investment">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8790" cy="1598930"/>
                    </a:xfrm>
                    <a:prstGeom prst="rect">
                      <a:avLst/>
                    </a:prstGeom>
                    <a:noFill/>
                    <a:ln>
                      <a:noFill/>
                    </a:ln>
                  </pic:spPr>
                </pic:pic>
              </a:graphicData>
            </a:graphic>
          </wp:inline>
        </w:drawing>
      </w:r>
    </w:p>
    <w:p w:rsidR="00A976BB" w:rsidRPr="00A976BB" w:rsidRDefault="00A976BB" w:rsidP="00A976BB">
      <w:pPr>
        <w:rPr>
          <w:rFonts w:ascii="Verdana" w:hAnsi="Verdana"/>
          <w:i/>
          <w:color w:val="333333"/>
          <w:sz w:val="25"/>
          <w:szCs w:val="25"/>
        </w:rPr>
      </w:pPr>
      <w:r w:rsidRPr="00A976BB">
        <w:rPr>
          <w:i/>
        </w:rPr>
        <w:t>Source:</w:t>
      </w:r>
      <w:r w:rsidRPr="00A976BB">
        <w:rPr>
          <w:rFonts w:ascii="Verdana" w:hAnsi="Verdana"/>
          <w:i/>
          <w:color w:val="333333"/>
          <w:sz w:val="25"/>
          <w:szCs w:val="25"/>
        </w:rPr>
        <w:t xml:space="preserve"> </w:t>
      </w:r>
      <w:r w:rsidRPr="00A976BB">
        <w:rPr>
          <w:i/>
        </w:rPr>
        <w:t>Federal Reserve Flow of Funds accounts. Shaded regions indicate NBER recessions</w:t>
      </w:r>
    </w:p>
    <w:p w:rsidR="00855151" w:rsidRDefault="002C7367" w:rsidP="00403EE2">
      <w:pPr>
        <w:pStyle w:val="NormalWeb"/>
        <w:jc w:val="both"/>
        <w:rPr>
          <w:rFonts w:asciiTheme="minorHAnsi" w:hAnsiTheme="minorHAnsi" w:cstheme="minorHAnsi"/>
          <w:sz w:val="22"/>
          <w:szCs w:val="22"/>
        </w:rPr>
      </w:pPr>
      <w:r w:rsidRPr="002C7367">
        <w:rPr>
          <w:rFonts w:asciiTheme="minorHAnsi" w:hAnsiTheme="minorHAnsi" w:cstheme="minorHAnsi"/>
          <w:sz w:val="22"/>
          <w:szCs w:val="22"/>
        </w:rPr>
        <w:t>B</w:t>
      </w:r>
      <w:r w:rsidR="00403EE2" w:rsidRPr="002C7367">
        <w:rPr>
          <w:rFonts w:asciiTheme="minorHAnsi" w:hAnsiTheme="minorHAnsi" w:cstheme="minorHAnsi"/>
          <w:sz w:val="22"/>
          <w:szCs w:val="22"/>
        </w:rPr>
        <w:t xml:space="preserve">usiness investment (as a share of assets) declined in tandem with profitability. </w:t>
      </w:r>
      <w:r w:rsidRPr="002C7367">
        <w:rPr>
          <w:rFonts w:asciiTheme="minorHAnsi" w:hAnsiTheme="minorHAnsi" w:cstheme="minorHAnsi"/>
          <w:sz w:val="22"/>
          <w:szCs w:val="22"/>
        </w:rPr>
        <w:t xml:space="preserve">The authors concluded that </w:t>
      </w:r>
      <w:r w:rsidR="00403EE2" w:rsidRPr="002C7367">
        <w:rPr>
          <w:rFonts w:asciiTheme="minorHAnsi" w:hAnsiTheme="minorHAnsi" w:cstheme="minorHAnsi"/>
          <w:i/>
          <w:sz w:val="22"/>
          <w:szCs w:val="22"/>
        </w:rPr>
        <w:t>“investment growth is highly predictable, up to 1½ years in advance, using past profits and stock returns but has little connection to interest rates, credit spreads, or stock volatility. Indeed, profits and stock returns swamp the predictive power of other variable</w:t>
      </w:r>
      <w:r w:rsidR="00403EE2" w:rsidRPr="002C7367">
        <w:rPr>
          <w:i/>
        </w:rPr>
        <w:t xml:space="preserve">s </w:t>
      </w:r>
      <w:r w:rsidR="00403EE2" w:rsidRPr="002C7367">
        <w:rPr>
          <w:rFonts w:asciiTheme="minorHAnsi" w:hAnsiTheme="minorHAnsi" w:cstheme="minorHAnsi"/>
          <w:i/>
          <w:sz w:val="22"/>
          <w:szCs w:val="22"/>
        </w:rPr>
        <w:t>proposed in the</w:t>
      </w:r>
      <w:r w:rsidR="00403EE2" w:rsidRPr="002C7367">
        <w:rPr>
          <w:rFonts w:asciiTheme="minorHAnsi" w:hAnsiTheme="minorHAnsi" w:cstheme="minorHAnsi"/>
          <w:sz w:val="22"/>
          <w:szCs w:val="22"/>
        </w:rPr>
        <w:t xml:space="preserve"> literature.”  </w:t>
      </w:r>
    </w:p>
    <w:p w:rsidR="00855151" w:rsidRDefault="00855151" w:rsidP="00855151">
      <w:pPr>
        <w:pStyle w:val="NormalWeb"/>
        <w:jc w:val="both"/>
        <w:rPr>
          <w:rFonts w:ascii="Verdana" w:hAnsi="Verdana"/>
          <w:color w:val="333333"/>
          <w:sz w:val="25"/>
          <w:szCs w:val="25"/>
        </w:rPr>
      </w:pPr>
      <w:r>
        <w:rPr>
          <w:rFonts w:asciiTheme="minorHAnsi" w:hAnsiTheme="minorHAnsi" w:cstheme="minorHAnsi"/>
          <w:sz w:val="22"/>
          <w:szCs w:val="22"/>
        </w:rPr>
        <w:t xml:space="preserve">More relevant to the movement in investment in the business cycle is the movement in the </w:t>
      </w:r>
      <w:r w:rsidRPr="00A44EDB">
        <w:rPr>
          <w:rFonts w:asciiTheme="minorHAnsi" w:hAnsiTheme="minorHAnsi" w:cstheme="minorHAnsi"/>
          <w:sz w:val="22"/>
          <w:szCs w:val="22"/>
          <w:u w:val="single"/>
        </w:rPr>
        <w:t>mass of profits</w:t>
      </w:r>
      <w:r>
        <w:rPr>
          <w:rFonts w:asciiTheme="minorHAnsi" w:hAnsiTheme="minorHAnsi" w:cstheme="minorHAnsi"/>
          <w:sz w:val="22"/>
          <w:szCs w:val="22"/>
        </w:rPr>
        <w:t xml:space="preserve">.  Our mainstream authors find that </w:t>
      </w:r>
      <w:r w:rsidR="00403EE2" w:rsidRPr="00A976BB">
        <w:rPr>
          <w:rFonts w:asciiTheme="minorHAnsi" w:hAnsiTheme="minorHAnsi" w:cstheme="minorHAnsi"/>
          <w:i/>
          <w:sz w:val="22"/>
          <w:szCs w:val="22"/>
        </w:rPr>
        <w:t>“Profits show a clear business-cycle pattern and a clear correlation with investment.”</w:t>
      </w:r>
      <w:r w:rsidR="00403EE2" w:rsidRPr="002C7367">
        <w:rPr>
          <w:rFonts w:asciiTheme="minorHAnsi" w:hAnsiTheme="minorHAnsi" w:cstheme="minorHAnsi"/>
          <w:sz w:val="22"/>
          <w:szCs w:val="22"/>
        </w:rPr>
        <w:t> </w:t>
      </w:r>
      <w:r>
        <w:rPr>
          <w:rFonts w:asciiTheme="minorHAnsi" w:hAnsiTheme="minorHAnsi" w:cstheme="minorHAnsi"/>
          <w:sz w:val="22"/>
          <w:szCs w:val="22"/>
        </w:rPr>
        <w:t xml:space="preserve"> </w:t>
      </w:r>
      <w:r w:rsidRPr="00855151">
        <w:rPr>
          <w:rFonts w:asciiTheme="minorHAnsi" w:hAnsiTheme="minorHAnsi" w:cstheme="minorHAnsi"/>
          <w:sz w:val="22"/>
          <w:szCs w:val="22"/>
        </w:rPr>
        <w:t xml:space="preserve">They measured the predictive causal correlation between changes in profits, GDP and investment and the Great Recession.  They found that </w:t>
      </w:r>
      <w:r w:rsidRPr="00A976BB">
        <w:rPr>
          <w:rFonts w:asciiTheme="minorHAnsi" w:hAnsiTheme="minorHAnsi" w:cstheme="minorHAnsi"/>
          <w:i/>
          <w:sz w:val="22"/>
          <w:szCs w:val="22"/>
        </w:rPr>
        <w:t>“if investment maintained its historical connection to profit growth, investment was predicted to drop by 14.7%, roughly two-thirds the actual decline of 23.0%.”</w:t>
      </w:r>
    </w:p>
    <w:p w:rsidR="00CC418E" w:rsidRDefault="00CC418E" w:rsidP="00CC418E">
      <w:r>
        <w:t>This two-thirds figure is almost exactly what I found for the period 2000 to 2013</w:t>
      </w:r>
      <w:r w:rsidR="00A976BB">
        <w:rPr>
          <w:rStyle w:val="EndnoteReference"/>
        </w:rPr>
        <w:endnoteReference w:id="17"/>
      </w:r>
      <w:r>
        <w:t>. I found that the correlation between changes in the rate of profit and investment was 64%; second, the correlation between the mass of profit and investment was 76%; and third, the correlation between the rate of profit (lagged one year) and the mass of profit was also 76%</w:t>
      </w:r>
      <w:r w:rsidR="00A976BB">
        <w:t xml:space="preserve"> (Figure 8)</w:t>
      </w:r>
      <w:r>
        <w:t>.</w:t>
      </w:r>
    </w:p>
    <w:p w:rsidR="00A976BB" w:rsidRPr="00A976BB" w:rsidRDefault="00A976BB" w:rsidP="00CC418E">
      <w:pPr>
        <w:rPr>
          <w:u w:val="single"/>
        </w:rPr>
      </w:pPr>
      <w:proofErr w:type="gramStart"/>
      <w:r w:rsidRPr="00A976BB">
        <w:rPr>
          <w:u w:val="single"/>
        </w:rPr>
        <w:t>Figure 8.</w:t>
      </w:r>
      <w:proofErr w:type="gramEnd"/>
      <w:r w:rsidRPr="00A976BB">
        <w:rPr>
          <w:u w:val="single"/>
        </w:rPr>
        <w:t xml:space="preserve"> US corporate profits and business investment </w:t>
      </w:r>
      <w:proofErr w:type="spellStart"/>
      <w:r w:rsidRPr="00A976BB">
        <w:rPr>
          <w:u w:val="single"/>
        </w:rPr>
        <w:t>yoy</w:t>
      </w:r>
      <w:proofErr w:type="spellEnd"/>
      <w:r w:rsidRPr="00A976BB">
        <w:rPr>
          <w:u w:val="single"/>
        </w:rPr>
        <w:t xml:space="preserve"> % </w:t>
      </w:r>
      <w:proofErr w:type="spellStart"/>
      <w:r w:rsidRPr="00A976BB">
        <w:rPr>
          <w:u w:val="single"/>
        </w:rPr>
        <w:t>chg</w:t>
      </w:r>
      <w:proofErr w:type="spellEnd"/>
      <w:r w:rsidR="00A44EDB">
        <w:rPr>
          <w:u w:val="single"/>
        </w:rPr>
        <w:t>, 1998-2015</w:t>
      </w:r>
    </w:p>
    <w:p w:rsidR="00CC418E" w:rsidRDefault="00CC418E" w:rsidP="00CC418E">
      <w:pPr>
        <w:pStyle w:val="NormalWeb"/>
        <w:jc w:val="both"/>
        <w:rPr>
          <w:rFonts w:ascii="Verdana" w:hAnsi="Verdana"/>
          <w:color w:val="333333"/>
          <w:sz w:val="25"/>
          <w:szCs w:val="25"/>
        </w:rPr>
      </w:pPr>
      <w:r>
        <w:rPr>
          <w:rFonts w:ascii="Verdana" w:hAnsi="Verdana"/>
          <w:noProof/>
          <w:color w:val="B85B5A"/>
          <w:sz w:val="25"/>
          <w:szCs w:val="25"/>
        </w:rPr>
        <w:lastRenderedPageBreak/>
        <w:drawing>
          <wp:inline distT="0" distB="0" distL="0" distR="0" wp14:anchorId="26A90FC7" wp14:editId="3ECF12D8">
            <wp:extent cx="5734050" cy="2800350"/>
            <wp:effectExtent l="0" t="0" r="0" b="0"/>
            <wp:docPr id="12" name="Picture 12" descr="US corporate profit and investmen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S corporate profit and investment">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7951" cy="2802255"/>
                    </a:xfrm>
                    <a:prstGeom prst="rect">
                      <a:avLst/>
                    </a:prstGeom>
                    <a:noFill/>
                    <a:ln>
                      <a:noFill/>
                    </a:ln>
                  </pic:spPr>
                </pic:pic>
              </a:graphicData>
            </a:graphic>
          </wp:inline>
        </w:drawing>
      </w:r>
    </w:p>
    <w:p w:rsidR="008962CA" w:rsidRPr="008962CA" w:rsidRDefault="008962CA" w:rsidP="008962CA">
      <w:pPr>
        <w:rPr>
          <w:i/>
        </w:rPr>
      </w:pPr>
      <w:r w:rsidRPr="008962CA">
        <w:rPr>
          <w:i/>
        </w:rPr>
        <w:t>Source: BEA NIPA, author’s calcu</w:t>
      </w:r>
      <w:r>
        <w:rPr>
          <w:i/>
        </w:rPr>
        <w:t>la</w:t>
      </w:r>
      <w:r w:rsidRPr="008962CA">
        <w:rPr>
          <w:i/>
        </w:rPr>
        <w:t>tions</w:t>
      </w:r>
    </w:p>
    <w:p w:rsidR="00422B7A" w:rsidRPr="00CC418E" w:rsidRDefault="00855151" w:rsidP="00422B7A">
      <w:r w:rsidRPr="00CC418E">
        <w:t xml:space="preserve">Economists at investment bank, </w:t>
      </w:r>
      <w:r w:rsidR="002408D3" w:rsidRPr="00CC418E">
        <w:t>JP Morgan</w:t>
      </w:r>
      <w:r w:rsidRPr="00CC418E">
        <w:t xml:space="preserve"> also</w:t>
      </w:r>
      <w:r w:rsidR="002408D3" w:rsidRPr="00CC418E">
        <w:t xml:space="preserve"> found that </w:t>
      </w:r>
      <w:r w:rsidR="002408D3" w:rsidRPr="00A976BB">
        <w:rPr>
          <w:i/>
        </w:rPr>
        <w:t>“at least three-quarters of the investment decline can be thought of as a historically typical drop given the behaviour of</w:t>
      </w:r>
      <w:r w:rsidR="002408D3" w:rsidRPr="00A976BB">
        <w:rPr>
          <w:rStyle w:val="Emphasis"/>
          <w:rFonts w:ascii="Verdana" w:hAnsi="Verdana"/>
          <w:i w:val="0"/>
          <w:color w:val="333333"/>
          <w:sz w:val="19"/>
          <w:szCs w:val="19"/>
        </w:rPr>
        <w:t xml:space="preserve"> </w:t>
      </w:r>
      <w:r w:rsidR="002408D3" w:rsidRPr="00A976BB">
        <w:rPr>
          <w:i/>
        </w:rPr>
        <w:t>profits and</w:t>
      </w:r>
      <w:r w:rsidR="002408D3" w:rsidRPr="00A976BB">
        <w:rPr>
          <w:rStyle w:val="Emphasis"/>
          <w:rFonts w:ascii="Verdana" w:hAnsi="Verdana"/>
          <w:i w:val="0"/>
          <w:color w:val="333333"/>
          <w:sz w:val="19"/>
          <w:szCs w:val="19"/>
        </w:rPr>
        <w:t xml:space="preserve"> </w:t>
      </w:r>
      <w:r w:rsidR="002408D3" w:rsidRPr="00A976BB">
        <w:rPr>
          <w:i/>
        </w:rPr>
        <w:t>GDP at the end of 2008. Problems in the credit markets may have played a role, but the impact on corporate investment is arguab</w:t>
      </w:r>
      <w:r w:rsidRPr="00A976BB">
        <w:rPr>
          <w:i/>
        </w:rPr>
        <w:t>ly small.”</w:t>
      </w:r>
      <w:r w:rsidRPr="00CC418E">
        <w:t xml:space="preserve"> </w:t>
      </w:r>
      <w:r w:rsidRPr="00A44EDB">
        <w:rPr>
          <w:sz w:val="20"/>
          <w:szCs w:val="20"/>
          <w:vertAlign w:val="superscript"/>
        </w:rPr>
        <w:endnoteReference w:id="18"/>
      </w:r>
      <w:r w:rsidR="00422B7A" w:rsidRPr="00A44EDB">
        <w:rPr>
          <w:sz w:val="20"/>
          <w:szCs w:val="20"/>
          <w:vertAlign w:val="superscript"/>
        </w:rPr>
        <w:t xml:space="preserve"> </w:t>
      </w:r>
    </w:p>
    <w:p w:rsidR="00403EE2" w:rsidRDefault="00855151" w:rsidP="00422B7A">
      <w:r w:rsidRPr="00CC418E">
        <w:t xml:space="preserve">Another financial economist, </w:t>
      </w:r>
      <w:r w:rsidR="00403EE2" w:rsidRPr="00CC418E">
        <w:t xml:space="preserve">David Watts from </w:t>
      </w:r>
      <w:proofErr w:type="spellStart"/>
      <w:r w:rsidR="00403EE2" w:rsidRPr="00CC418E">
        <w:t>CreditSight</w:t>
      </w:r>
      <w:proofErr w:type="spellEnd"/>
      <w:r w:rsidRPr="00CC418E">
        <w:t xml:space="preserve"> ran the </w:t>
      </w:r>
      <w:r w:rsidR="00403EE2" w:rsidRPr="00CC418E">
        <w:t>growth in sales revenues and the level of utilisation of existing capacity for Eurozone non-financial companies against business investment</w:t>
      </w:r>
      <w:r w:rsidRPr="00CC418E">
        <w:t>.  He found</w:t>
      </w:r>
      <w:r w:rsidR="00403EE2" w:rsidRPr="00CC418E">
        <w:t xml:space="preserve"> there is a close correlation.  In other words, what drives business investment </w:t>
      </w:r>
      <w:proofErr w:type="gramStart"/>
      <w:r w:rsidR="00403EE2" w:rsidRPr="00CC418E">
        <w:t>are the level</w:t>
      </w:r>
      <w:proofErr w:type="gramEnd"/>
      <w:r w:rsidR="00403EE2" w:rsidRPr="00CC418E">
        <w:t xml:space="preserve"> of sales and profits</w:t>
      </w:r>
      <w:r w:rsidR="008B65A0">
        <w:t>.</w:t>
      </w:r>
      <w:r w:rsidRPr="00A44EDB">
        <w:rPr>
          <w:sz w:val="20"/>
          <w:vertAlign w:val="superscript"/>
        </w:rPr>
        <w:endnoteReference w:id="19"/>
      </w:r>
      <w:r w:rsidR="00403EE2" w:rsidRPr="00A44EDB">
        <w:rPr>
          <w:sz w:val="20"/>
          <w:vertAlign w:val="superscript"/>
        </w:rPr>
        <w:t>.</w:t>
      </w:r>
      <w:r w:rsidR="00403EE2" w:rsidRPr="00CC418E">
        <w:t xml:space="preserve"> Klein concludes:</w:t>
      </w:r>
      <w:r w:rsidR="00A976BB">
        <w:t xml:space="preserve"> </w:t>
      </w:r>
      <w:r w:rsidR="00A976BB" w:rsidRPr="00A976BB">
        <w:rPr>
          <w:i/>
        </w:rPr>
        <w:t>“</w:t>
      </w:r>
      <w:r w:rsidR="00403EE2" w:rsidRPr="00A976BB">
        <w:rPr>
          <w:i/>
        </w:rPr>
        <w:t xml:space="preserve">You don’t need any estimate of a “credit channel” (or “policy uncertainty” or “confidence”) to explain why companies boost or cut their </w:t>
      </w:r>
      <w:proofErr w:type="spellStart"/>
      <w:r w:rsidR="00403EE2" w:rsidRPr="00A976BB">
        <w:rPr>
          <w:i/>
        </w:rPr>
        <w:t>capex</w:t>
      </w:r>
      <w:proofErr w:type="spellEnd"/>
      <w:r w:rsidR="00403EE2" w:rsidRPr="00A976BB">
        <w:rPr>
          <w:i/>
        </w:rPr>
        <w:t>. They spend when it’s profitable, and don’t when it isn’t</w:t>
      </w:r>
      <w:r w:rsidR="00403EE2" w:rsidRPr="00CC418E">
        <w:t>.”</w:t>
      </w:r>
      <w:r w:rsidRPr="00A44EDB">
        <w:rPr>
          <w:vertAlign w:val="superscript"/>
        </w:rPr>
        <w:endnoteReference w:id="20"/>
      </w:r>
      <w:r w:rsidR="00422B7A">
        <w:rPr>
          <w:rStyle w:val="Emphasis"/>
          <w:rFonts w:ascii="Verdana" w:hAnsi="Verdana"/>
          <w:color w:val="333333"/>
          <w:sz w:val="19"/>
          <w:szCs w:val="19"/>
        </w:rPr>
        <w:t xml:space="preserve">  </w:t>
      </w:r>
      <w:r>
        <w:t>T</w:t>
      </w:r>
      <w:r w:rsidR="00403EE2">
        <w:t>he Bank for International Settlements (BIS) latched onto the same point</w:t>
      </w:r>
      <w:r w:rsidR="00422B7A">
        <w:t xml:space="preserve">: </w:t>
      </w:r>
      <w:r w:rsidR="00403EE2" w:rsidRPr="00A976BB">
        <w:rPr>
          <w:rStyle w:val="Emphasis"/>
          <w:rFonts w:ascii="Verdana" w:hAnsi="Verdana"/>
          <w:i w:val="0"/>
          <w:color w:val="333333"/>
          <w:sz w:val="25"/>
          <w:szCs w:val="25"/>
        </w:rPr>
        <w:t>“</w:t>
      </w:r>
      <w:r w:rsidR="00403EE2" w:rsidRPr="00A976BB">
        <w:rPr>
          <w:i/>
        </w:rPr>
        <w:t>the uncertainty about the economic outlook and expected profits play a key role in driving investment, while the effect of financing conditions is apparently small.”</w:t>
      </w:r>
      <w:r w:rsidR="00422B7A" w:rsidRPr="00422B7A">
        <w:t xml:space="preserve"> </w:t>
      </w:r>
      <w:r w:rsidR="00422B7A" w:rsidRPr="007B2298">
        <w:rPr>
          <w:vertAlign w:val="superscript"/>
        </w:rPr>
        <w:endnoteReference w:id="21"/>
      </w:r>
    </w:p>
    <w:p w:rsidR="007B2298" w:rsidRDefault="00422B7A" w:rsidP="00422B7A">
      <w:pPr>
        <w:rPr>
          <w:i/>
        </w:rPr>
      </w:pPr>
      <w:r>
        <w:t>The Federal Reserve Bank of Cleveland has also found similar results</w:t>
      </w:r>
      <w:r>
        <w:rPr>
          <w:rStyle w:val="EndnoteReference"/>
        </w:rPr>
        <w:endnoteReference w:id="22"/>
      </w:r>
      <w:r>
        <w:t xml:space="preserve">.  Economists there found that there was </w:t>
      </w:r>
      <w:r w:rsidR="00403EE2" w:rsidRPr="00422B7A">
        <w:t>a very high correlation between the movement of business profits, investment and industrial production</w:t>
      </w:r>
      <w:r w:rsidRPr="00422B7A">
        <w:t xml:space="preserve">.  Chief economist </w:t>
      </w:r>
      <w:proofErr w:type="spellStart"/>
      <w:r w:rsidRPr="00422B7A">
        <w:t>Ergundor</w:t>
      </w:r>
      <w:proofErr w:type="spellEnd"/>
      <w:r w:rsidRPr="00422B7A">
        <w:t xml:space="preserve">: </w:t>
      </w:r>
      <w:r w:rsidR="00403EE2" w:rsidRPr="00A976BB">
        <w:rPr>
          <w:i/>
        </w:rPr>
        <w:t xml:space="preserve">“A simple correlation analysis shows that the correlation between the change in corporate profits and the contemporaneous change in industrial production is 54 </w:t>
      </w:r>
      <w:proofErr w:type="spellStart"/>
      <w:r w:rsidR="00403EE2" w:rsidRPr="00A976BB">
        <w:rPr>
          <w:i/>
        </w:rPr>
        <w:t>percent</w:t>
      </w:r>
      <w:proofErr w:type="spellEnd"/>
      <w:r w:rsidR="00403EE2" w:rsidRPr="00A976BB">
        <w:rPr>
          <w:i/>
        </w:rPr>
        <w:t xml:space="preserve">, but the correlation goes up to 66 </w:t>
      </w:r>
      <w:proofErr w:type="spellStart"/>
      <w:r w:rsidR="00403EE2" w:rsidRPr="00A976BB">
        <w:rPr>
          <w:i/>
        </w:rPr>
        <w:t>percent</w:t>
      </w:r>
      <w:proofErr w:type="spellEnd"/>
      <w:r w:rsidR="00403EE2" w:rsidRPr="00A976BB">
        <w:rPr>
          <w:i/>
        </w:rPr>
        <w:t xml:space="preserve"> if I use the one-quarter-ahead change in industrial production. Similarly, the correlation between the change in corporate</w:t>
      </w:r>
      <w:r w:rsidR="00403EE2" w:rsidRPr="00A976BB">
        <w:rPr>
          <w:rStyle w:val="Emphasis"/>
          <w:rFonts w:ascii="Verdana" w:hAnsi="Verdana"/>
          <w:i w:val="0"/>
          <w:color w:val="333333"/>
          <w:sz w:val="25"/>
          <w:szCs w:val="25"/>
        </w:rPr>
        <w:t xml:space="preserve"> </w:t>
      </w:r>
      <w:r w:rsidR="00403EE2" w:rsidRPr="00A976BB">
        <w:rPr>
          <w:i/>
        </w:rPr>
        <w:t xml:space="preserve">profits and the contemporaneous change in gross domestic private investment is 57 </w:t>
      </w:r>
      <w:proofErr w:type="spellStart"/>
      <w:r w:rsidR="00403EE2" w:rsidRPr="00A976BB">
        <w:rPr>
          <w:i/>
        </w:rPr>
        <w:t>percent</w:t>
      </w:r>
      <w:proofErr w:type="spellEnd"/>
      <w:r w:rsidR="00403EE2" w:rsidRPr="00A976BB">
        <w:rPr>
          <w:i/>
        </w:rPr>
        <w:t xml:space="preserve">, but the correlation goes up to 68 </w:t>
      </w:r>
      <w:proofErr w:type="spellStart"/>
      <w:r w:rsidR="00403EE2" w:rsidRPr="00A976BB">
        <w:rPr>
          <w:i/>
        </w:rPr>
        <w:t>percent</w:t>
      </w:r>
      <w:proofErr w:type="spellEnd"/>
      <w:r w:rsidR="00403EE2" w:rsidRPr="00A976BB">
        <w:rPr>
          <w:i/>
        </w:rPr>
        <w:t xml:space="preserve"> if I use the</w:t>
      </w:r>
      <w:r w:rsidR="00403EE2" w:rsidRPr="00A976BB">
        <w:rPr>
          <w:rStyle w:val="Emphasis"/>
          <w:rFonts w:ascii="Verdana" w:hAnsi="Verdana"/>
          <w:i w:val="0"/>
          <w:color w:val="333333"/>
          <w:sz w:val="25"/>
          <w:szCs w:val="25"/>
        </w:rPr>
        <w:t xml:space="preserve"> </w:t>
      </w:r>
      <w:r w:rsidR="00403EE2" w:rsidRPr="00A976BB">
        <w:rPr>
          <w:i/>
        </w:rPr>
        <w:t>one-quarter-ahead change in</w:t>
      </w:r>
      <w:r w:rsidR="00403EE2" w:rsidRPr="00A976BB">
        <w:rPr>
          <w:rStyle w:val="Emphasis"/>
          <w:rFonts w:ascii="Verdana" w:hAnsi="Verdana"/>
          <w:i w:val="0"/>
          <w:color w:val="333333"/>
          <w:sz w:val="25"/>
          <w:szCs w:val="25"/>
        </w:rPr>
        <w:t xml:space="preserve"> </w:t>
      </w:r>
      <w:r w:rsidR="00403EE2" w:rsidRPr="00A976BB">
        <w:rPr>
          <w:i/>
        </w:rPr>
        <w:t xml:space="preserve">investment. </w:t>
      </w:r>
    </w:p>
    <w:p w:rsidR="00403EE2" w:rsidRDefault="00403EE2" w:rsidP="00F67C88">
      <w:r w:rsidRPr="00A976BB">
        <w:rPr>
          <w:i/>
        </w:rPr>
        <w:t xml:space="preserve">More formally, a </w:t>
      </w:r>
      <w:r w:rsidRPr="007B2298">
        <w:rPr>
          <w:i/>
          <w:u w:val="single"/>
        </w:rPr>
        <w:t>Granger causality test indicates that the quarterly change in profits leads the quarterly change in production by one quarter, but the change in profits is independent of the change in production. A similar relationship applies to the quarterly change in profits and investment.</w:t>
      </w:r>
      <w:r w:rsidR="00A976BB" w:rsidRPr="007B2298">
        <w:rPr>
          <w:i/>
          <w:u w:val="single"/>
        </w:rPr>
        <w:t xml:space="preserve"> </w:t>
      </w:r>
      <w:r w:rsidRPr="007B2298">
        <w:rPr>
          <w:i/>
          <w:u w:val="single"/>
        </w:rPr>
        <w:t> Thus, firms seem to adjust their production and investment after seeing a drop in their profits.</w:t>
      </w:r>
      <w:r w:rsidRPr="00A976BB">
        <w:rPr>
          <w:i/>
        </w:rPr>
        <w:t>”</w:t>
      </w:r>
      <w:r w:rsidR="007B2298">
        <w:rPr>
          <w:i/>
        </w:rPr>
        <w:t xml:space="preserve"> </w:t>
      </w:r>
      <w:r w:rsidRPr="00422B7A">
        <w:t xml:space="preserve">The time gap between profits and investment is about three quarters of a year.  </w:t>
      </w:r>
    </w:p>
    <w:p w:rsidR="00403EE2" w:rsidRDefault="00422B7A" w:rsidP="00512160">
      <w:r>
        <w:lastRenderedPageBreak/>
        <w:t>Deutsche Bank economists</w:t>
      </w:r>
      <w:r w:rsidR="00512160" w:rsidRPr="007B2298">
        <w:rPr>
          <w:rStyle w:val="EndnoteReference"/>
          <w:rFonts w:cstheme="minorHAnsi"/>
          <w:color w:val="333333"/>
          <w:sz w:val="20"/>
          <w:szCs w:val="20"/>
        </w:rPr>
        <w:endnoteReference w:id="23"/>
      </w:r>
      <w:r w:rsidRPr="007B2298">
        <w:rPr>
          <w:rFonts w:cstheme="minorHAnsi"/>
          <w:sz w:val="20"/>
          <w:szCs w:val="20"/>
        </w:rPr>
        <w:t xml:space="preserve"> </w:t>
      </w:r>
      <w:r>
        <w:t xml:space="preserve">also noted that </w:t>
      </w:r>
      <w:r w:rsidR="00403EE2" w:rsidRPr="00512160">
        <w:t>“</w:t>
      </w:r>
      <w:r w:rsidR="00403EE2" w:rsidRPr="00A976BB">
        <w:rPr>
          <w:i/>
        </w:rPr>
        <w:t>Profit margins always peak in advance of recession. Indeed, there has not been one business cycle in the post-WWII era where this has not been the case. The reason margins are a leading indicator is simple:</w:t>
      </w:r>
      <w:r w:rsidR="00512160" w:rsidRPr="00A976BB">
        <w:rPr>
          <w:i/>
        </w:rPr>
        <w:t xml:space="preserve"> w</w:t>
      </w:r>
      <w:r w:rsidR="00403EE2" w:rsidRPr="00A976BB">
        <w:rPr>
          <w:i/>
        </w:rPr>
        <w:t>hen corporate profitability declines, a pullback in spending and hiring eventually ensues.”</w:t>
      </w:r>
      <w:r w:rsidR="00403EE2" w:rsidRPr="00512160">
        <w:t xml:space="preserve"> Deutsche goes on: </w:t>
      </w:r>
      <w:r w:rsidR="00403EE2" w:rsidRPr="00A976BB">
        <w:rPr>
          <w:i/>
        </w:rPr>
        <w:t>“the historical data reveals that the average and median lead times between the peak in margins and the onset of recession</w:t>
      </w:r>
      <w:r w:rsidR="007B2298">
        <w:rPr>
          <w:i/>
        </w:rPr>
        <w:t xml:space="preserve"> </w:t>
      </w:r>
      <w:r w:rsidR="00403EE2" w:rsidRPr="00A976BB">
        <w:rPr>
          <w:i/>
        </w:rPr>
        <w:t>are nine and eight quarters, respectively</w:t>
      </w:r>
      <w:r w:rsidR="00CC418E" w:rsidRPr="00A976BB">
        <w:rPr>
          <w:i/>
        </w:rPr>
        <w:t>”</w:t>
      </w:r>
      <w:r w:rsidR="003E4BB7">
        <w:rPr>
          <w:i/>
        </w:rPr>
        <w:t xml:space="preserve"> (Figure 9)</w:t>
      </w:r>
      <w:r w:rsidR="00CC418E">
        <w:t>.</w:t>
      </w:r>
    </w:p>
    <w:p w:rsidR="003E4BB7" w:rsidRPr="003E4BB7" w:rsidRDefault="003E4BB7" w:rsidP="00512160">
      <w:pPr>
        <w:rPr>
          <w:u w:val="single"/>
        </w:rPr>
      </w:pPr>
      <w:r w:rsidRPr="003E4BB7">
        <w:rPr>
          <w:u w:val="single"/>
        </w:rPr>
        <w:t>Figure 9. Profit margins and the business cycle</w:t>
      </w:r>
    </w:p>
    <w:p w:rsidR="00403EE2" w:rsidRDefault="00403EE2" w:rsidP="00403EE2">
      <w:pPr>
        <w:pStyle w:val="NormalWeb"/>
        <w:jc w:val="both"/>
        <w:rPr>
          <w:rFonts w:ascii="Verdana" w:hAnsi="Verdana"/>
          <w:color w:val="333333"/>
          <w:sz w:val="25"/>
          <w:szCs w:val="25"/>
        </w:rPr>
      </w:pPr>
      <w:r>
        <w:rPr>
          <w:rFonts w:ascii="Verdana" w:hAnsi="Verdana"/>
          <w:noProof/>
          <w:color w:val="B85B5A"/>
          <w:sz w:val="25"/>
          <w:szCs w:val="25"/>
        </w:rPr>
        <w:drawing>
          <wp:inline distT="0" distB="0" distL="0" distR="0">
            <wp:extent cx="5143500" cy="2759345"/>
            <wp:effectExtent l="0" t="0" r="0" b="3175"/>
            <wp:docPr id="11" name="Picture 11" descr="profit-margin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it-margins">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46548" cy="2760980"/>
                    </a:xfrm>
                    <a:prstGeom prst="rect">
                      <a:avLst/>
                    </a:prstGeom>
                    <a:noFill/>
                    <a:ln>
                      <a:noFill/>
                    </a:ln>
                  </pic:spPr>
                </pic:pic>
              </a:graphicData>
            </a:graphic>
          </wp:inline>
        </w:drawing>
      </w:r>
    </w:p>
    <w:p w:rsidR="003E4BB7" w:rsidRPr="003E4BB7" w:rsidRDefault="003E4BB7" w:rsidP="003E4BB7">
      <w:pPr>
        <w:rPr>
          <w:i/>
        </w:rPr>
      </w:pPr>
      <w:r w:rsidRPr="003E4BB7">
        <w:rPr>
          <w:i/>
        </w:rPr>
        <w:t>Source: Deutsche Bank</w:t>
      </w:r>
    </w:p>
    <w:p w:rsidR="00CC418E" w:rsidRDefault="00F67C88" w:rsidP="00F67C88">
      <w:pPr>
        <w:rPr>
          <w:rFonts w:ascii="Verdana" w:eastAsia="Times New Roman" w:hAnsi="Verdana" w:cs="Times New Roman"/>
          <w:color w:val="333333"/>
          <w:sz w:val="25"/>
          <w:szCs w:val="25"/>
          <w:lang w:eastAsia="en-GB"/>
        </w:rPr>
      </w:pPr>
      <w:r w:rsidRPr="00CC418E">
        <w:t>Tapia shows that over 251 quarters of US economic activity from 1947, the movement in profits was much more volatile tha</w:t>
      </w:r>
      <w:r w:rsidR="007B2298">
        <w:t>n</w:t>
      </w:r>
      <w:r w:rsidRPr="00CC418E">
        <w:t xml:space="preserve"> </w:t>
      </w:r>
      <w:r w:rsidR="007B2298">
        <w:t xml:space="preserve">the movement in wages </w:t>
      </w:r>
      <w:r w:rsidRPr="00CC418E">
        <w:t>or even investment.</w:t>
      </w:r>
      <w:r w:rsidR="008962CA">
        <w:rPr>
          <w:rStyle w:val="EndnoteReference"/>
        </w:rPr>
        <w:endnoteReference w:id="24"/>
      </w:r>
      <w:r w:rsidRPr="00CC418E">
        <w:t>  Most important, </w:t>
      </w:r>
      <w:r w:rsidRPr="008962CA">
        <w:rPr>
          <w:i/>
        </w:rPr>
        <w:t>“corporate profits stop growing, stagnate and then start falling a few quarters before a recession”.</w:t>
      </w:r>
      <w:r w:rsidR="003E4BB7">
        <w:rPr>
          <w:i/>
        </w:rPr>
        <w:t xml:space="preserve"> </w:t>
      </w:r>
      <w:r w:rsidRPr="00CC418E">
        <w:t>Profits then lead investment and employment out of each recession.  In the long expansion of the 1990s, profits started declining long before investment did (profits fell back in 1997 while</w:t>
      </w:r>
      <w:r w:rsidRPr="0025746C">
        <w:rPr>
          <w:rFonts w:ascii="Verdana" w:eastAsia="Times New Roman" w:hAnsi="Verdana" w:cs="Times New Roman"/>
          <w:color w:val="333333"/>
          <w:sz w:val="25"/>
          <w:szCs w:val="25"/>
          <w:lang w:eastAsia="en-GB"/>
        </w:rPr>
        <w:t xml:space="preserve"> </w:t>
      </w:r>
      <w:r w:rsidRPr="00CC418E">
        <w:t>investment went on growing until 2000, when a crisis ensued).</w:t>
      </w:r>
      <w:r w:rsidR="007B2298">
        <w:t xml:space="preserve"> </w:t>
      </w:r>
      <w:r w:rsidRPr="00CC418E">
        <w:t>“</w:t>
      </w:r>
      <w:r w:rsidRPr="003E4BB7">
        <w:rPr>
          <w:i/>
        </w:rPr>
        <w:t>In all these cases, profits peaks several quarters before the recession, while investment peaks almost immediately before the recession.”</w:t>
      </w:r>
      <w:r w:rsidRPr="00CC418E">
        <w:t xml:space="preserve">  Using regression analysis, </w:t>
      </w:r>
      <w:r w:rsidRPr="007B2298">
        <w:rPr>
          <w:u w:val="single"/>
        </w:rPr>
        <w:t>Tapia finds that pre-tax profits can explain 44% of all</w:t>
      </w:r>
      <w:r w:rsidRPr="007B2298">
        <w:rPr>
          <w:rFonts w:ascii="Verdana" w:eastAsia="Times New Roman" w:hAnsi="Verdana" w:cs="Times New Roman"/>
          <w:color w:val="333333"/>
          <w:sz w:val="25"/>
          <w:szCs w:val="25"/>
          <w:u w:val="single"/>
          <w:lang w:eastAsia="en-GB"/>
        </w:rPr>
        <w:t xml:space="preserve"> </w:t>
      </w:r>
      <w:r w:rsidRPr="007B2298">
        <w:rPr>
          <w:u w:val="single"/>
        </w:rPr>
        <w:t>movement in investment, while there is no evidence that investment can explain any movement in profits</w:t>
      </w:r>
      <w:r w:rsidRPr="007B2298">
        <w:rPr>
          <w:rFonts w:ascii="Verdana" w:eastAsia="Times New Roman" w:hAnsi="Verdana" w:cs="Times New Roman"/>
          <w:color w:val="333333"/>
          <w:sz w:val="25"/>
          <w:szCs w:val="25"/>
          <w:u w:val="single"/>
          <w:lang w:eastAsia="en-GB"/>
        </w:rPr>
        <w:t>.</w:t>
      </w:r>
      <w:r w:rsidRPr="0025746C">
        <w:rPr>
          <w:rFonts w:ascii="Verdana" w:eastAsia="Times New Roman" w:hAnsi="Verdana" w:cs="Times New Roman"/>
          <w:color w:val="333333"/>
          <w:sz w:val="25"/>
          <w:szCs w:val="25"/>
          <w:lang w:eastAsia="en-GB"/>
        </w:rPr>
        <w:t xml:space="preserve">  </w:t>
      </w:r>
    </w:p>
    <w:p w:rsidR="005F72A3" w:rsidRDefault="002C7367" w:rsidP="002C7367">
      <w:r>
        <w:t xml:space="preserve">This is exactly the conclusion that G </w:t>
      </w:r>
      <w:proofErr w:type="spellStart"/>
      <w:r>
        <w:t>Carchedi</w:t>
      </w:r>
      <w:proofErr w:type="spellEnd"/>
      <w:r>
        <w:t xml:space="preserve"> and I reached in a joint study</w:t>
      </w:r>
      <w:r>
        <w:rPr>
          <w:rStyle w:val="EndnoteReference"/>
        </w:rPr>
        <w:endnoteReference w:id="25"/>
      </w:r>
      <w:r>
        <w:t xml:space="preserve">. In Figure </w:t>
      </w:r>
      <w:r w:rsidR="003E4BB7">
        <w:t>9</w:t>
      </w:r>
      <w:r>
        <w:t xml:space="preserve">, </w:t>
      </w:r>
      <w:r w:rsidR="007F0160">
        <w:t>the US mass of profits leads business investment and GDP growth into recession and then out of it.</w:t>
      </w:r>
    </w:p>
    <w:p w:rsidR="003E4BB7" w:rsidRPr="003E4BB7" w:rsidRDefault="003E4BB7" w:rsidP="002C7367">
      <w:pPr>
        <w:rPr>
          <w:u w:val="single"/>
        </w:rPr>
      </w:pPr>
      <w:proofErr w:type="gramStart"/>
      <w:r w:rsidRPr="003E4BB7">
        <w:rPr>
          <w:u w:val="single"/>
        </w:rPr>
        <w:t>Figure 9.</w:t>
      </w:r>
      <w:proofErr w:type="gramEnd"/>
      <w:r w:rsidRPr="003E4BB7">
        <w:rPr>
          <w:u w:val="single"/>
        </w:rPr>
        <w:t xml:space="preserve"> US corporate profits, investment and GDP growth 2001-12 $</w:t>
      </w:r>
      <w:proofErr w:type="spellStart"/>
      <w:r w:rsidRPr="003E4BB7">
        <w:rPr>
          <w:u w:val="single"/>
        </w:rPr>
        <w:t>bn</w:t>
      </w:r>
      <w:proofErr w:type="spellEnd"/>
    </w:p>
    <w:p w:rsidR="002C7367" w:rsidRDefault="002C7367" w:rsidP="002C7367">
      <w:pPr>
        <w:pStyle w:val="NormalWeb"/>
        <w:jc w:val="both"/>
        <w:rPr>
          <w:rFonts w:ascii="Verdana" w:hAnsi="Verdana"/>
          <w:color w:val="333333"/>
          <w:sz w:val="25"/>
          <w:szCs w:val="25"/>
        </w:rPr>
      </w:pPr>
      <w:r>
        <w:rPr>
          <w:rFonts w:ascii="Verdana" w:hAnsi="Verdana"/>
          <w:noProof/>
          <w:color w:val="333333"/>
          <w:sz w:val="25"/>
          <w:szCs w:val="25"/>
        </w:rPr>
        <w:lastRenderedPageBreak/>
        <w:drawing>
          <wp:inline distT="0" distB="0" distL="0" distR="0" wp14:anchorId="76C1A453" wp14:editId="7DC9EDA6">
            <wp:extent cx="5324475" cy="3219447"/>
            <wp:effectExtent l="0" t="0" r="0" b="635"/>
            <wp:docPr id="13" name="Picture 13" descr="profits call the t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ofits call the tu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27630" cy="3221355"/>
                    </a:xfrm>
                    <a:prstGeom prst="rect">
                      <a:avLst/>
                    </a:prstGeom>
                    <a:noFill/>
                    <a:ln>
                      <a:noFill/>
                    </a:ln>
                  </pic:spPr>
                </pic:pic>
              </a:graphicData>
            </a:graphic>
          </wp:inline>
        </w:drawing>
      </w:r>
    </w:p>
    <w:p w:rsidR="003E4BB7" w:rsidRPr="003E4BB7" w:rsidRDefault="003E4BB7" w:rsidP="003E4BB7">
      <w:pPr>
        <w:rPr>
          <w:i/>
        </w:rPr>
      </w:pPr>
      <w:r w:rsidRPr="003E4BB7">
        <w:rPr>
          <w:i/>
        </w:rPr>
        <w:t>Source: BEA NIPA, authors calculations</w:t>
      </w:r>
    </w:p>
    <w:p w:rsidR="007F0160" w:rsidRDefault="007F0160" w:rsidP="007F0160">
      <w:pPr>
        <w:rPr>
          <w:u w:val="single"/>
        </w:rPr>
      </w:pPr>
      <w:r>
        <w:t>Finally, I applied Granger causation regression analysis to changes in profits, investment and GDP since 1961</w:t>
      </w:r>
      <w:r w:rsidRPr="007B2298">
        <w:rPr>
          <w:u w:val="single"/>
        </w:rPr>
        <w:t xml:space="preserve">.  I found that </w:t>
      </w:r>
      <w:r w:rsidR="00D92F6C" w:rsidRPr="007B2298">
        <w:rPr>
          <w:u w:val="single"/>
        </w:rPr>
        <w:t xml:space="preserve">the correlation between </w:t>
      </w:r>
      <w:r w:rsidRPr="007B2298">
        <w:rPr>
          <w:u w:val="single"/>
        </w:rPr>
        <w:t>profits</w:t>
      </w:r>
      <w:r w:rsidR="00D92F6C" w:rsidRPr="007B2298">
        <w:rPr>
          <w:u w:val="single"/>
        </w:rPr>
        <w:t xml:space="preserve"> and investment was 0.43 with least squares regression coefficient at 0.60.  Profits </w:t>
      </w:r>
      <w:r w:rsidRPr="007B2298">
        <w:rPr>
          <w:u w:val="single"/>
        </w:rPr>
        <w:t>‘Granger cause</w:t>
      </w:r>
      <w:r w:rsidR="00D92F6C" w:rsidRPr="007B2298">
        <w:rPr>
          <w:u w:val="single"/>
        </w:rPr>
        <w:t>d</w:t>
      </w:r>
      <w:r w:rsidRPr="007B2298">
        <w:rPr>
          <w:u w:val="single"/>
        </w:rPr>
        <w:t>’ investment with a one-year lag.  And investment ‘Granger cause</w:t>
      </w:r>
      <w:r w:rsidR="00D92F6C" w:rsidRPr="007B2298">
        <w:rPr>
          <w:u w:val="single"/>
        </w:rPr>
        <w:t>d</w:t>
      </w:r>
      <w:r w:rsidRPr="007B2298">
        <w:rPr>
          <w:u w:val="single"/>
        </w:rPr>
        <w:t xml:space="preserve">’ </w:t>
      </w:r>
      <w:r w:rsidR="00D92F6C" w:rsidRPr="007B2298">
        <w:rPr>
          <w:u w:val="single"/>
        </w:rPr>
        <w:t xml:space="preserve">GDP </w:t>
      </w:r>
      <w:r w:rsidRPr="007B2298">
        <w:rPr>
          <w:u w:val="single"/>
        </w:rPr>
        <w:t xml:space="preserve">with a two-year lag.  But there </w:t>
      </w:r>
      <w:r w:rsidR="00D92F6C" w:rsidRPr="007B2298">
        <w:rPr>
          <w:u w:val="single"/>
        </w:rPr>
        <w:t>wa</w:t>
      </w:r>
      <w:r w:rsidRPr="007B2298">
        <w:rPr>
          <w:u w:val="single"/>
        </w:rPr>
        <w:t>s no causal connection from investment to profits – the same result as Tapia.</w:t>
      </w:r>
      <w:r>
        <w:rPr>
          <w:rStyle w:val="EndnoteReference"/>
        </w:rPr>
        <w:endnoteReference w:id="26"/>
      </w:r>
    </w:p>
    <w:p w:rsidR="00B90779" w:rsidRDefault="000B478A" w:rsidP="00185EAA">
      <w:pPr>
        <w:rPr>
          <w:i/>
        </w:rPr>
      </w:pPr>
      <w:r w:rsidRPr="000B478A">
        <w:t>Finally, even post-Keynesian research can reach similar results.</w:t>
      </w:r>
      <w:r>
        <w:t xml:space="preserve"> </w:t>
      </w:r>
      <w:r w:rsidRPr="000B478A">
        <w:t>David Brennan presented an analysis based, he said, on using Marx’s law of profitability and </w:t>
      </w:r>
      <w:hyperlink r:id="rId22" w:history="1">
        <w:r w:rsidRPr="000B478A">
          <w:t xml:space="preserve">Michal </w:t>
        </w:r>
        <w:proofErr w:type="spellStart"/>
        <w:r w:rsidRPr="000B478A">
          <w:t>Kalecki’s</w:t>
        </w:r>
        <w:proofErr w:type="spellEnd"/>
      </w:hyperlink>
      <w:r w:rsidRPr="000B478A">
        <w:t> macro identities.</w:t>
      </w:r>
      <w:r w:rsidRPr="000B478A">
        <w:rPr>
          <w:rStyle w:val="EndnoteReference"/>
          <w:rFonts w:cstheme="minorHAnsi"/>
        </w:rPr>
        <w:endnoteReference w:id="27"/>
      </w:r>
      <w:r>
        <w:t xml:space="preserve">. </w:t>
      </w:r>
      <w:r w:rsidR="00B90779">
        <w:t xml:space="preserve"> </w:t>
      </w:r>
      <w:r w:rsidR="00B90779" w:rsidRPr="00B90779">
        <w:t>He concluded:</w:t>
      </w:r>
      <w:r w:rsidRPr="00B90779">
        <w:t xml:space="preserve"> </w:t>
      </w:r>
      <w:r w:rsidRPr="00B90779">
        <w:rPr>
          <w:i/>
        </w:rPr>
        <w:t>“Marxian theory was not wrong about the causes of the Great Recession, although various Marxian theories emphasized different aspects of the crisis. In the end, the rate of profit matters for the trajectory of the economy. But to understand crises like the Great Recession, profit rates alone are not sufficient. Crises, unlike typical recessions, are sudden and often unforeseen. The Great Recession was both a profit rate and a profit realization crisis.”</w:t>
      </w:r>
    </w:p>
    <w:p w:rsidR="00934EEA" w:rsidRDefault="00934EEA" w:rsidP="00185EAA">
      <w:r>
        <w:t>Thus, the evidence is overwhelming that profitability is the drive</w:t>
      </w:r>
      <w:r w:rsidR="007B2298">
        <w:t>r</w:t>
      </w:r>
      <w:r>
        <w:t xml:space="preserve"> of investment growth and that profits lead investment (and GDP) and not vice versa.  The Marxist view is supported empirically.</w:t>
      </w:r>
    </w:p>
    <w:p w:rsidR="00722206" w:rsidRPr="00F67C88" w:rsidRDefault="00722206" w:rsidP="00722206">
      <w:pPr>
        <w:rPr>
          <w:rFonts w:ascii="Verdana" w:hAnsi="Verdana"/>
          <w:color w:val="333333"/>
          <w:sz w:val="25"/>
          <w:szCs w:val="25"/>
        </w:rPr>
      </w:pPr>
      <w:r>
        <w:rPr>
          <w:rFonts w:ascii="Verdana" w:hAnsi="Verdana"/>
          <w:color w:val="333333"/>
          <w:sz w:val="25"/>
          <w:szCs w:val="25"/>
        </w:rPr>
        <w:t xml:space="preserve">3. The </w:t>
      </w:r>
      <w:r w:rsidR="008B65A0">
        <w:rPr>
          <w:rFonts w:ascii="Verdana" w:hAnsi="Verdana"/>
          <w:color w:val="333333"/>
          <w:sz w:val="25"/>
          <w:szCs w:val="25"/>
        </w:rPr>
        <w:t>p</w:t>
      </w:r>
      <w:r>
        <w:rPr>
          <w:rFonts w:ascii="Verdana" w:hAnsi="Verdana"/>
          <w:color w:val="333333"/>
          <w:sz w:val="25"/>
          <w:szCs w:val="25"/>
        </w:rPr>
        <w:t>olicy implications</w:t>
      </w:r>
    </w:p>
    <w:p w:rsidR="00F67C88" w:rsidRDefault="00934EEA" w:rsidP="00F67C88">
      <w:r>
        <w:t>There are economic policy implications that flow from this conclusion.  After all, it is the kernel of Keynesian economic policy that the way out of economic recession under capitalism is to boost ‘effective demand’</w:t>
      </w:r>
      <w:r w:rsidR="007B2298">
        <w:t>. A</w:t>
      </w:r>
      <w:r>
        <w:t xml:space="preserve">nd in an unemployment </w:t>
      </w:r>
      <w:r w:rsidR="007B2298">
        <w:t>‘</w:t>
      </w:r>
      <w:r>
        <w:t>equilibrium</w:t>
      </w:r>
      <w:r w:rsidR="007B2298">
        <w:t>’</w:t>
      </w:r>
      <w:r>
        <w:t>, it will be necessary to stimulate this demand, either by easing the cost of investment</w:t>
      </w:r>
      <w:r w:rsidR="007B2298">
        <w:t xml:space="preserve"> </w:t>
      </w:r>
      <w:r>
        <w:t xml:space="preserve">or consumer borrowing </w:t>
      </w:r>
      <w:r w:rsidR="007B2298">
        <w:t xml:space="preserve">(monetary policy) </w:t>
      </w:r>
      <w:r>
        <w:t>and/or by government spending</w:t>
      </w:r>
      <w:r w:rsidR="007B2298">
        <w:t xml:space="preserve"> (fiscal policy)</w:t>
      </w:r>
      <w:r>
        <w:t>.</w:t>
      </w:r>
    </w:p>
    <w:p w:rsidR="007B2298" w:rsidRDefault="00A04D5E" w:rsidP="00A04D5E">
      <w:pPr>
        <w:rPr>
          <w:lang w:eastAsia="en-GB"/>
        </w:rPr>
      </w:pPr>
      <w:r w:rsidRPr="002406E3">
        <w:rPr>
          <w:lang w:eastAsia="en-GB"/>
        </w:rPr>
        <w:t xml:space="preserve">Keynesians see the capitalist economy in a utopian way.   The Keynesian analysis denies or ignores the class nature of the capitalist economy and the </w:t>
      </w:r>
      <w:r w:rsidR="007B2298">
        <w:rPr>
          <w:lang w:eastAsia="en-GB"/>
        </w:rPr>
        <w:t xml:space="preserve">Marxist </w:t>
      </w:r>
      <w:r w:rsidRPr="002406E3">
        <w:rPr>
          <w:lang w:eastAsia="en-GB"/>
        </w:rPr>
        <w:t xml:space="preserve">law of value </w:t>
      </w:r>
      <w:r w:rsidR="007B2298">
        <w:rPr>
          <w:lang w:eastAsia="en-GB"/>
        </w:rPr>
        <w:t>that shows</w:t>
      </w:r>
      <w:r w:rsidRPr="002406E3">
        <w:rPr>
          <w:lang w:eastAsia="en-GB"/>
        </w:rPr>
        <w:t xml:space="preserve"> profits </w:t>
      </w:r>
      <w:r w:rsidR="007B2298">
        <w:rPr>
          <w:lang w:eastAsia="en-GB"/>
        </w:rPr>
        <w:t xml:space="preserve">come </w:t>
      </w:r>
      <w:r w:rsidRPr="002406E3">
        <w:rPr>
          <w:lang w:eastAsia="en-GB"/>
        </w:rPr>
        <w:t xml:space="preserve">from </w:t>
      </w:r>
      <w:r w:rsidRPr="002406E3">
        <w:rPr>
          <w:lang w:eastAsia="en-GB"/>
        </w:rPr>
        <w:lastRenderedPageBreak/>
        <w:t xml:space="preserve">the exploitation of labour.  As a result, Keynesian macro identities start from consumption and investment (“effective demand”) and go onto incomes and employment.  </w:t>
      </w:r>
    </w:p>
    <w:p w:rsidR="00A04D5E" w:rsidRPr="002406E3" w:rsidRDefault="007B2298" w:rsidP="00A04D5E">
      <w:pPr>
        <w:rPr>
          <w:lang w:eastAsia="en-GB"/>
        </w:rPr>
      </w:pPr>
      <w:r w:rsidRPr="002406E3">
        <w:rPr>
          <w:lang w:eastAsia="en-GB"/>
        </w:rPr>
        <w:t>Remember the multiplier is a device invented by Richard Kahn, Keynes’ disciple of the 1930s.  It purports to measure the change in real GDP caused by a change in government spending or taxation – in other words</w:t>
      </w:r>
      <w:r>
        <w:rPr>
          <w:lang w:eastAsia="en-GB"/>
        </w:rPr>
        <w:t xml:space="preserve">, </w:t>
      </w:r>
      <w:r w:rsidRPr="002406E3">
        <w:rPr>
          <w:lang w:eastAsia="en-GB"/>
        </w:rPr>
        <w:t>the impact on growth of government fiscal measures.</w:t>
      </w:r>
      <w:r>
        <w:rPr>
          <w:lang w:eastAsia="en-GB"/>
        </w:rPr>
        <w:t xml:space="preserve"> </w:t>
      </w:r>
      <w:r w:rsidR="00A04D5E" w:rsidRPr="002406E3">
        <w:rPr>
          <w:lang w:eastAsia="en-GB"/>
        </w:rPr>
        <w:t>So the Keynesian multiplier measures the impact of more or less spending (demand) on income (GDP).   B</w:t>
      </w:r>
      <w:r w:rsidR="008B65A0">
        <w:rPr>
          <w:lang w:eastAsia="en-GB"/>
        </w:rPr>
        <w:t>ut</w:t>
      </w:r>
      <w:r w:rsidR="00A04D5E" w:rsidRPr="002406E3">
        <w:rPr>
          <w:lang w:eastAsia="en-GB"/>
        </w:rPr>
        <w:t xml:space="preserve"> it does not measure the impact on profitability.</w:t>
      </w:r>
      <w:r>
        <w:rPr>
          <w:lang w:eastAsia="en-GB"/>
        </w:rPr>
        <w:t xml:space="preserve"> </w:t>
      </w:r>
      <w:r w:rsidR="00A04D5E" w:rsidRPr="002406E3">
        <w:rPr>
          <w:lang w:eastAsia="en-GB"/>
        </w:rPr>
        <w:t xml:space="preserve"> And</w:t>
      </w:r>
      <w:r>
        <w:rPr>
          <w:lang w:eastAsia="en-GB"/>
        </w:rPr>
        <w:t>, in the Marxist view,</w:t>
      </w:r>
      <w:r w:rsidR="00A04D5E" w:rsidRPr="002406E3">
        <w:rPr>
          <w:lang w:eastAsia="en-GB"/>
        </w:rPr>
        <w:t xml:space="preserve"> that is crucial to growth under the capitalist mode of production.</w:t>
      </w:r>
    </w:p>
    <w:p w:rsidR="003B1442" w:rsidRDefault="00934EEA" w:rsidP="003B1442">
      <w:r>
        <w:t>Let us return to the Keynes-</w:t>
      </w:r>
      <w:proofErr w:type="spellStart"/>
      <w:r>
        <w:t>Kalecki</w:t>
      </w:r>
      <w:proofErr w:type="spellEnd"/>
      <w:r>
        <w:t xml:space="preserve"> macro identity.  </w:t>
      </w:r>
      <w:r w:rsidR="003B1442">
        <w:t xml:space="preserve">It can be </w:t>
      </w:r>
      <w:r w:rsidR="000A7FDD">
        <w:t>re-</w:t>
      </w:r>
      <w:r w:rsidR="003B1442">
        <w:t>designed as:</w:t>
      </w:r>
    </w:p>
    <w:p w:rsidR="003B1442" w:rsidRDefault="003B1442" w:rsidP="003B1442">
      <w:r>
        <w:t>Investment – (non-capitalist) Savings</w:t>
      </w:r>
      <w:r w:rsidR="00FC4690" w:rsidRPr="00FC4690">
        <w:t xml:space="preserve"> </w:t>
      </w:r>
      <w:r w:rsidR="00FC4690">
        <w:t>= Profits</w:t>
      </w:r>
    </w:p>
    <w:p w:rsidR="008B65A0" w:rsidRDefault="008B65A0" w:rsidP="003B1442">
      <w:r>
        <w:t xml:space="preserve">The </w:t>
      </w:r>
      <w:r w:rsidRPr="008B65A0">
        <w:rPr>
          <w:u w:val="single"/>
        </w:rPr>
        <w:t>Keynesian view</w:t>
      </w:r>
      <w:r>
        <w:t xml:space="preserve"> is that:</w:t>
      </w:r>
      <w:r w:rsidR="000A7FDD">
        <w:t xml:space="preserve"> the lower </w:t>
      </w:r>
      <w:r w:rsidR="00FC4690">
        <w:t xml:space="preserve">are </w:t>
      </w:r>
      <w:r w:rsidR="000A7FDD">
        <w:t xml:space="preserve">non-capitalist savings, the higher </w:t>
      </w:r>
      <w:r>
        <w:t xml:space="preserve">is </w:t>
      </w:r>
      <w:r w:rsidR="000A7FDD">
        <w:t>the investment and then the higher the profits.  Non-capitalist (domestic) s</w:t>
      </w:r>
      <w:r w:rsidR="003B1442">
        <w:t xml:space="preserve">avings can be divided into three parts: savings by households, saving by governments and foreign capitalist savings.  </w:t>
      </w:r>
    </w:p>
    <w:p w:rsidR="00D42E13" w:rsidRDefault="003B1442" w:rsidP="003B1442">
      <w:r>
        <w:t>If households save more (as they tend to do in a slump) and foreign savings rises (in other words, the national economy’s deficit with the rest of the world rises</w:t>
      </w:r>
      <w:r w:rsidR="008B65A0">
        <w:t>); i</w:t>
      </w:r>
      <w:r w:rsidR="000A7FDD">
        <w:t xml:space="preserve">f government also run budget surpluses and save, then investment will be lower.  </w:t>
      </w:r>
      <w:r>
        <w:t>And if investment calls the tune, then lower investment will mean lower profits</w:t>
      </w:r>
      <w:r w:rsidR="00D42E13">
        <w:t xml:space="preserve"> (business savings)</w:t>
      </w:r>
      <w:r>
        <w:t xml:space="preserve">. </w:t>
      </w:r>
    </w:p>
    <w:p w:rsidR="003B1442" w:rsidRDefault="003B1442" w:rsidP="003B1442">
      <w:r>
        <w:t>However, there is a saviour</w:t>
      </w:r>
      <w:r w:rsidR="000A7FDD">
        <w:t xml:space="preserve"> in this equation</w:t>
      </w:r>
      <w:r>
        <w:t xml:space="preserve">: government savings, or to be more exact; government dissaving.  If government runs up a big budget deficit, in other words, </w:t>
      </w:r>
      <w:proofErr w:type="spellStart"/>
      <w:r>
        <w:t>dissaves</w:t>
      </w:r>
      <w:proofErr w:type="spellEnd"/>
      <w:r>
        <w:t>, it can boost investment and thus profits.  So the Keynesian logic goes.</w:t>
      </w:r>
    </w:p>
    <w:p w:rsidR="000A7FDD" w:rsidRDefault="00D42E13" w:rsidP="00FB5047">
      <w:r>
        <w:t xml:space="preserve">But </w:t>
      </w:r>
      <w:r w:rsidR="000A7FDD">
        <w:t>t</w:t>
      </w:r>
      <w:r>
        <w:t xml:space="preserve">he </w:t>
      </w:r>
      <w:r w:rsidRPr="008B65A0">
        <w:rPr>
          <w:u w:val="single"/>
        </w:rPr>
        <w:t xml:space="preserve">Marxist </w:t>
      </w:r>
      <w:r w:rsidR="000A7FDD" w:rsidRPr="008B65A0">
        <w:rPr>
          <w:u w:val="single"/>
        </w:rPr>
        <w:t>logic</w:t>
      </w:r>
      <w:r>
        <w:t xml:space="preserve"> </w:t>
      </w:r>
      <w:r w:rsidR="000A7FDD">
        <w:t xml:space="preserve">is that the causal connection is the opposite. </w:t>
      </w:r>
    </w:p>
    <w:p w:rsidR="000A7FDD" w:rsidRDefault="000A7FDD" w:rsidP="00FB5047">
      <w:r>
        <w:t>Thus the equation looks like this.</w:t>
      </w:r>
    </w:p>
    <w:p w:rsidR="000A7FDD" w:rsidRDefault="000A7FDD" w:rsidP="00FB5047">
      <w:r>
        <w:t xml:space="preserve">Profits + </w:t>
      </w:r>
      <w:r w:rsidR="00FC4690">
        <w:t>(non-capitalist)</w:t>
      </w:r>
      <w:r>
        <w:t xml:space="preserve"> </w:t>
      </w:r>
      <w:r w:rsidR="00FC4690">
        <w:t>S</w:t>
      </w:r>
      <w:r>
        <w:t>avings = Investment</w:t>
      </w:r>
    </w:p>
    <w:p w:rsidR="00FB5047" w:rsidRDefault="000A7FDD" w:rsidP="00FB5047">
      <w:r>
        <w:t xml:space="preserve">If we </w:t>
      </w:r>
      <w:r w:rsidR="00D42E13">
        <w:t xml:space="preserve">assume </w:t>
      </w:r>
      <w:r w:rsidR="00FB5047">
        <w:t xml:space="preserve">profits are fixed </w:t>
      </w:r>
      <w:r>
        <w:t xml:space="preserve">or fall </w:t>
      </w:r>
      <w:r w:rsidR="00FB5047">
        <w:t>in th</w:t>
      </w:r>
      <w:r w:rsidR="008B65A0">
        <w:t xml:space="preserve">is equation, </w:t>
      </w:r>
      <w:r w:rsidR="00FB5047">
        <w:t>then investment cannot be increased</w:t>
      </w:r>
      <w:r>
        <w:t xml:space="preserve"> or will fall, </w:t>
      </w:r>
      <w:r w:rsidRPr="000A7FDD">
        <w:rPr>
          <w:u w:val="single"/>
        </w:rPr>
        <w:t>unless</w:t>
      </w:r>
      <w:r>
        <w:t xml:space="preserve"> </w:t>
      </w:r>
      <w:r w:rsidR="00D42E13">
        <w:t xml:space="preserve">other </w:t>
      </w:r>
      <w:r w:rsidR="008B65A0">
        <w:t xml:space="preserve">non-capitalist </w:t>
      </w:r>
      <w:r w:rsidR="00D42E13">
        <w:t xml:space="preserve">savings are </w:t>
      </w:r>
      <w:r w:rsidR="00722206">
        <w:t xml:space="preserve">increased </w:t>
      </w:r>
      <w:r w:rsidR="00D42E13">
        <w:t>to compensate</w:t>
      </w:r>
      <w:r w:rsidR="008B65A0">
        <w:t xml:space="preserve"> (</w:t>
      </w:r>
      <w:r w:rsidR="00D42E13">
        <w:t xml:space="preserve">namely </w:t>
      </w:r>
      <w:r w:rsidR="00722206">
        <w:t>ho</w:t>
      </w:r>
      <w:r w:rsidR="00A04D5E">
        <w:t>us</w:t>
      </w:r>
      <w:r w:rsidR="00722206">
        <w:t>ehold</w:t>
      </w:r>
      <w:r w:rsidR="00D42E13">
        <w:t xml:space="preserve"> savings</w:t>
      </w:r>
      <w:r w:rsidR="00FB5047">
        <w:t xml:space="preserve"> </w:t>
      </w:r>
      <w:r w:rsidR="00722206">
        <w:t>and</w:t>
      </w:r>
      <w:r>
        <w:t>/or</w:t>
      </w:r>
      <w:r w:rsidR="00722206">
        <w:t xml:space="preserve"> reduced </w:t>
      </w:r>
      <w:r w:rsidR="00FB5047">
        <w:t xml:space="preserve">capitalist consumption </w:t>
      </w:r>
      <w:r w:rsidR="00722206">
        <w:t xml:space="preserve">or </w:t>
      </w:r>
      <w:r w:rsidR="00FB5047">
        <w:t>more government saving, not dissaving</w:t>
      </w:r>
      <w:r w:rsidR="008B65A0">
        <w:t>)</w:t>
      </w:r>
      <w:r w:rsidR="00FB5047">
        <w:t xml:space="preserve">.  </w:t>
      </w:r>
      <w:r w:rsidR="00722206">
        <w:t>This</w:t>
      </w:r>
      <w:r w:rsidR="00FB5047">
        <w:t xml:space="preserve"> is the opposite of the Keynesian policy conclusion.  </w:t>
      </w:r>
      <w:r w:rsidR="00722206">
        <w:t>On this view, more g</w:t>
      </w:r>
      <w:r w:rsidR="00FB5047">
        <w:t xml:space="preserve">overnment borrowing will not boost profits, but the opposite – and profits are what matters under capitalism. So government </w:t>
      </w:r>
      <w:r w:rsidR="00722206">
        <w:t xml:space="preserve">dissaving </w:t>
      </w:r>
      <w:r w:rsidR="00FB5047">
        <w:t>is a negative for capitalist investment. Government spending will not boost the capitalist economy because it eats into profitability by depriving the capitalist sector of some of its potential profit.</w:t>
      </w:r>
    </w:p>
    <w:p w:rsidR="00FB5047" w:rsidRPr="00FB5047" w:rsidRDefault="00A04D5E" w:rsidP="00FB5047">
      <w:proofErr w:type="spellStart"/>
      <w:r>
        <w:t>Carchedi</w:t>
      </w:r>
      <w:proofErr w:type="spellEnd"/>
      <w:r>
        <w:t xml:space="preserve"> presents the difference I have described here as between the Keynesian multiplier (i.e. consumption to investment to national income to profits) and the Marxist multiplier (i.e. profits to investment to income and consumption). </w:t>
      </w:r>
      <w:r>
        <w:rPr>
          <w:lang w:eastAsia="en-GB"/>
        </w:rPr>
        <w:t xml:space="preserve"> </w:t>
      </w:r>
      <w:proofErr w:type="spellStart"/>
      <w:r>
        <w:rPr>
          <w:lang w:eastAsia="en-GB"/>
        </w:rPr>
        <w:t>Carchedi</w:t>
      </w:r>
      <w:proofErr w:type="spellEnd"/>
      <w:r>
        <w:rPr>
          <w:lang w:eastAsia="en-GB"/>
        </w:rPr>
        <w:t xml:space="preserve">: </w:t>
      </w:r>
      <w:r w:rsidR="00FB5047" w:rsidRPr="00C77B65">
        <w:rPr>
          <w:i/>
        </w:rPr>
        <w:t xml:space="preserve">“In the Keynesian multiplier, state induced investments have a positive effect on production and thus on income, spending, and saving…..Profitability plays a subordinate role and the effects on the economy are always apparently positive.  In the Marxist multiplier, profitability is central…. The question is whether n rounds of </w:t>
      </w:r>
      <w:r w:rsidR="00FB5047" w:rsidRPr="00C77B65">
        <w:rPr>
          <w:i/>
        </w:rPr>
        <w:lastRenderedPageBreak/>
        <w:t>subsequent investments generate a rate of profit higher than, lower than, or equal to the original average rate of profit”.</w:t>
      </w:r>
      <w:r w:rsidR="00722206" w:rsidRPr="00C77B65">
        <w:rPr>
          <w:rStyle w:val="EndnoteReference"/>
          <w:i/>
        </w:rPr>
        <w:endnoteReference w:id="28"/>
      </w:r>
    </w:p>
    <w:p w:rsidR="0099407E" w:rsidRDefault="0099407E" w:rsidP="0099407E">
      <w:r w:rsidRPr="00B904CA">
        <w:t>If the Marxist multiplier is the right way to view the modern economy, then what follows is that government spending and tax increases or cuts must be viewed from whether they boost or reduce profitability. If they do not raise profitability or even reduce it, then any short-term boost to GDP from more government spending</w:t>
      </w:r>
      <w:r w:rsidR="00C77B65">
        <w:t xml:space="preserve"> will only be at the expense of</w:t>
      </w:r>
      <w:r w:rsidRPr="00B904CA">
        <w:t xml:space="preserve"> a lengthier period of low growth and an eventual return to recession.  There is no assurance that more spending means more profits – on the contrary.  Government investment in infrastructure may boost profitability for those capitalist sectors getting the contracts, but if it is paid for by higher taxes on profits, there is no gain overall.  And if it is financed by borrowing, profitability will eventually be constrained by a rising cost of capital.</w:t>
      </w:r>
    </w:p>
    <w:p w:rsidR="00A04D5E" w:rsidRDefault="00A04D5E" w:rsidP="00A04D5E">
      <w:pPr>
        <w:rPr>
          <w:rStyle w:val="Emphasis"/>
          <w:rFonts w:ascii="Verdana" w:hAnsi="Verdana"/>
          <w:sz w:val="19"/>
          <w:szCs w:val="19"/>
        </w:rPr>
      </w:pPr>
      <w:r>
        <w:t xml:space="preserve">Government spending will not boost the capitalist economy because it eats into profitability by depriving the capitalist sector of some of its potential profit.  </w:t>
      </w:r>
      <w:proofErr w:type="spellStart"/>
      <w:r>
        <w:t>Kalecki</w:t>
      </w:r>
      <w:proofErr w:type="spellEnd"/>
      <w:r>
        <w:t xml:space="preserve"> sort of realised this in his famous paper,</w:t>
      </w:r>
      <w:r>
        <w:rPr>
          <w:rStyle w:val="apple-converted-space"/>
          <w:rFonts w:ascii="Verdana" w:hAnsi="Verdana"/>
          <w:sz w:val="19"/>
          <w:szCs w:val="19"/>
        </w:rPr>
        <w:t> </w:t>
      </w:r>
      <w:r w:rsidRPr="00C77B65">
        <w:rPr>
          <w:rStyle w:val="Emphasis"/>
          <w:rFonts w:ascii="Verdana" w:hAnsi="Verdana"/>
          <w:i w:val="0"/>
          <w:sz w:val="19"/>
          <w:szCs w:val="19"/>
          <w:u w:val="single"/>
        </w:rPr>
        <w:t>Political aspects of full employment</w:t>
      </w:r>
      <w:r w:rsidRPr="00C77B65">
        <w:rPr>
          <w:i/>
          <w:u w:val="single"/>
        </w:rPr>
        <w:t>, 1943</w:t>
      </w:r>
      <w:r>
        <w:t>, when he said:</w:t>
      </w:r>
      <w:r>
        <w:rPr>
          <w:rStyle w:val="apple-converted-space"/>
          <w:rFonts w:ascii="Verdana" w:hAnsi="Verdana"/>
          <w:sz w:val="19"/>
          <w:szCs w:val="19"/>
        </w:rPr>
        <w:t> </w:t>
      </w:r>
      <w:r>
        <w:rPr>
          <w:rStyle w:val="Emphasis"/>
          <w:rFonts w:ascii="Verdana" w:hAnsi="Verdana"/>
          <w:sz w:val="19"/>
          <w:szCs w:val="19"/>
        </w:rPr>
        <w:t>“public investment should be confined to objects that don’t compete with the equipment of private business.  Otherwise, the profitability of private investment might be impaired and the effect of public investment upon employment offset by the negative effect of the decline in private investment”.</w:t>
      </w:r>
      <w:r>
        <w:rPr>
          <w:rStyle w:val="EndnoteReference"/>
          <w:rFonts w:ascii="Verdana" w:hAnsi="Verdana"/>
          <w:i/>
          <w:iCs/>
          <w:sz w:val="19"/>
          <w:szCs w:val="19"/>
        </w:rPr>
        <w:endnoteReference w:id="29"/>
      </w:r>
    </w:p>
    <w:p w:rsidR="009462AE" w:rsidRPr="00825554" w:rsidRDefault="00A04D5E" w:rsidP="009462AE">
      <w:r w:rsidRPr="00FC4690">
        <w:t>So which multiplier is the most convincing on the evidence?  Tapia looked at the causal connection between US profits, investment and government spending</w:t>
      </w:r>
      <w:r w:rsidR="00555D24" w:rsidRPr="00FC4690">
        <w:rPr>
          <w:sz w:val="20"/>
          <w:vertAlign w:val="superscript"/>
        </w:rPr>
        <w:endnoteReference w:id="30"/>
      </w:r>
      <w:r w:rsidRPr="00FC4690">
        <w:rPr>
          <w:sz w:val="20"/>
          <w:vertAlign w:val="superscript"/>
        </w:rPr>
        <w:t>.</w:t>
      </w:r>
      <w:r w:rsidRPr="00FC4690">
        <w:t xml:space="preserve">  He found that </w:t>
      </w:r>
      <w:r w:rsidRPr="00FC4690">
        <w:rPr>
          <w:i/>
        </w:rPr>
        <w:t>“little evidence is found that government spending may stimulate future investment and in this way may pump-prime the economy.”</w:t>
      </w:r>
      <w:r w:rsidRPr="00FC4690">
        <w:t xml:space="preserve"> </w:t>
      </w:r>
      <w:r w:rsidR="009462AE" w:rsidRPr="00FC4690">
        <w:t xml:space="preserve"> He conclude</w:t>
      </w:r>
      <w:r w:rsidR="00FC4690">
        <w:t>d</w:t>
      </w:r>
      <w:r w:rsidR="009462AE" w:rsidRPr="00FC4690">
        <w:t xml:space="preserve"> that</w:t>
      </w:r>
      <w:r w:rsidR="009462AE">
        <w:rPr>
          <w:rFonts w:ascii="Georgia" w:hAnsi="Georgia" w:cs="Georgia"/>
          <w:color w:val="000000"/>
          <w:sz w:val="20"/>
          <w:szCs w:val="20"/>
        </w:rPr>
        <w:t xml:space="preserve"> “</w:t>
      </w:r>
      <w:r w:rsidR="009462AE" w:rsidRPr="00FC4690">
        <w:rPr>
          <w:i/>
        </w:rPr>
        <w:t xml:space="preserve">The Keynesian view that government expenditure may pump-prime the economy by stimulating private investment has very little support in the data, as the net effect of government expending on lagged private investment is either null or negative. Only in the sample 1961-1990 did past government spending appear as enhancing gross investment in the present, though it does not stimulate business investment, and the effect does not appear in other samples so that it does not constitute strong evidence in </w:t>
      </w:r>
      <w:proofErr w:type="spellStart"/>
      <w:r w:rsidR="009462AE" w:rsidRPr="00FC4690">
        <w:rPr>
          <w:i/>
        </w:rPr>
        <w:t>favor</w:t>
      </w:r>
      <w:proofErr w:type="spellEnd"/>
      <w:r w:rsidR="009462AE" w:rsidRPr="00FC4690">
        <w:rPr>
          <w:i/>
        </w:rPr>
        <w:t xml:space="preserve"> of a pump-priming effect of government spending This suggests that it is the profitability of capital that is decisive for the recovery or otherwise from an economic recession or depression.”</w:t>
      </w:r>
    </w:p>
    <w:p w:rsidR="0099407E" w:rsidRPr="00A04D5E" w:rsidRDefault="009462AE" w:rsidP="0099407E">
      <w:pPr>
        <w:rPr>
          <w:rFonts w:ascii="Georgia" w:hAnsi="Georgia" w:cs="Georgia"/>
          <w:color w:val="000000"/>
          <w:sz w:val="20"/>
          <w:szCs w:val="20"/>
        </w:rPr>
      </w:pPr>
      <w:r>
        <w:t>Keynes</w:t>
      </w:r>
      <w:r w:rsidR="00555D24">
        <w:t>i</w:t>
      </w:r>
      <w:r>
        <w:t xml:space="preserve">an economist, </w:t>
      </w:r>
      <w:r w:rsidR="0099407E" w:rsidRPr="00B904CA">
        <w:t xml:space="preserve">Paul </w:t>
      </w:r>
      <w:proofErr w:type="spellStart"/>
      <w:r w:rsidR="0099407E" w:rsidRPr="00B904CA">
        <w:t>Krugman</w:t>
      </w:r>
      <w:proofErr w:type="spellEnd"/>
      <w:r w:rsidR="0099407E" w:rsidRPr="00B904CA">
        <w:t xml:space="preserve"> considered the impact of fiscal tightening, as measured by the IMF’s estimate of the cyclically adjusted primary balance (i.e., excluding interest payments) as a percentage of GDP.</w:t>
      </w:r>
      <w:r w:rsidR="0099407E" w:rsidRPr="00B904CA">
        <w:rPr>
          <w:rStyle w:val="EndnoteReference"/>
        </w:rPr>
        <w:endnoteReference w:id="31"/>
      </w:r>
      <w:r w:rsidR="00A04D5E">
        <w:t xml:space="preserve"> He showed</w:t>
      </w:r>
      <w:r w:rsidR="0099407E" w:rsidRPr="00B904CA">
        <w:t xml:space="preserve"> the deviation of real GDP from what the IMF was projecting before the crisis and assumed that projected growth 2007-2013 was expected to continue for two more years to get 2015 estimates</w:t>
      </w:r>
      <w:r w:rsidR="00C77B65">
        <w:t xml:space="preserve"> (Figure 10)</w:t>
      </w:r>
      <w:r w:rsidR="0099407E" w:rsidRPr="00B904CA">
        <w:t>.  This appears to show a significant correlation between fiscal tightening as defined and the deviation of actual real GDP growth from the IMF forecast.</w:t>
      </w:r>
    </w:p>
    <w:p w:rsidR="0099407E" w:rsidRPr="00970C10" w:rsidRDefault="00C77B65" w:rsidP="0099407E">
      <w:pPr>
        <w:rPr>
          <w:rFonts w:ascii="Georgia" w:hAnsi="Georgia"/>
        </w:rPr>
      </w:pPr>
      <w:r w:rsidRPr="00C77B65">
        <w:rPr>
          <w:u w:val="single"/>
        </w:rPr>
        <w:t xml:space="preserve">Figure 10. </w:t>
      </w:r>
      <w:r w:rsidR="0099407E" w:rsidRPr="00C77B65">
        <w:rPr>
          <w:u w:val="single"/>
        </w:rPr>
        <w:t xml:space="preserve">The deviation from the pre-crisis IMF real GDP growth forecast and fiscal tightening (cyclically adjusted primary balance as a % of GDP). </w:t>
      </w:r>
    </w:p>
    <w:p w:rsidR="0099407E" w:rsidRDefault="0099407E" w:rsidP="0099407E">
      <w:pPr>
        <w:rPr>
          <w:rFonts w:ascii="Georgia" w:hAnsi="Georgia"/>
        </w:rPr>
      </w:pPr>
      <w:r>
        <w:rPr>
          <w:noProof/>
          <w:lang w:eastAsia="en-GB"/>
        </w:rPr>
        <w:lastRenderedPageBreak/>
        <w:drawing>
          <wp:inline distT="0" distB="0" distL="0" distR="0" wp14:anchorId="11B06EEE" wp14:editId="389C4853">
            <wp:extent cx="5410199" cy="2209800"/>
            <wp:effectExtent l="0" t="0" r="635" b="0"/>
            <wp:docPr id="16" name="Picture 16" descr="http://graphics8.nytimes.com/images/2015/11/20/opinion/112015krugman2/112015krugman2-tmagArtic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phics8.nytimes.com/images/2015/11/20/opinion/112015krugman2/112015krugman2-tmagArticle.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13275" cy="2211057"/>
                    </a:xfrm>
                    <a:prstGeom prst="rect">
                      <a:avLst/>
                    </a:prstGeom>
                    <a:noFill/>
                    <a:ln>
                      <a:noFill/>
                    </a:ln>
                  </pic:spPr>
                </pic:pic>
              </a:graphicData>
            </a:graphic>
          </wp:inline>
        </w:drawing>
      </w:r>
    </w:p>
    <w:p w:rsidR="00C77B65" w:rsidRPr="00C77B65" w:rsidRDefault="00C77B65" w:rsidP="00C77B65">
      <w:pPr>
        <w:rPr>
          <w:rFonts w:ascii="Georgia" w:hAnsi="Georgia"/>
          <w:i/>
        </w:rPr>
      </w:pPr>
      <w:r w:rsidRPr="00C77B65">
        <w:rPr>
          <w:i/>
        </w:rPr>
        <w:t xml:space="preserve">Source: Paul </w:t>
      </w:r>
      <w:proofErr w:type="spellStart"/>
      <w:r w:rsidRPr="00C77B65">
        <w:rPr>
          <w:i/>
        </w:rPr>
        <w:t>Krugman</w:t>
      </w:r>
      <w:proofErr w:type="spellEnd"/>
    </w:p>
    <w:p w:rsidR="0099407E" w:rsidRDefault="0099407E" w:rsidP="0099407E">
      <w:r w:rsidRPr="00B904CA">
        <w:t xml:space="preserve">However, as </w:t>
      </w:r>
      <w:proofErr w:type="spellStart"/>
      <w:r w:rsidRPr="00B904CA">
        <w:t>Krugman</w:t>
      </w:r>
      <w:proofErr w:type="spellEnd"/>
      <w:r w:rsidRPr="00B904CA">
        <w:t xml:space="preserve"> sa</w:t>
      </w:r>
      <w:r w:rsidR="00A04D5E">
        <w:t>id</w:t>
      </w:r>
      <w:r w:rsidRPr="00B904CA">
        <w:t xml:space="preserve"> himself, this is perhaps an odd way of measuring the impact of the Keynesian multiplier and, if Greece is excluded, the correlation is less convincing. If instead of the deviation from IMF pre-crisis GDP forecasts, we use the change in the real GDP in the last five years against fiscal tightening, as defined by </w:t>
      </w:r>
      <w:proofErr w:type="spellStart"/>
      <w:r w:rsidRPr="00B904CA">
        <w:t>Krugman</w:t>
      </w:r>
      <w:proofErr w:type="spellEnd"/>
      <w:r w:rsidRPr="00B904CA">
        <w:t xml:space="preserve">, the result does show a negative correlation for the G6 </w:t>
      </w:r>
      <w:r w:rsidR="00FC4690">
        <w:t xml:space="preserve">economies </w:t>
      </w:r>
      <w:r w:rsidRPr="00B904CA">
        <w:t xml:space="preserve">plus distressed Eurozone economies </w:t>
      </w:r>
      <w:r w:rsidR="00FC4690">
        <w:t xml:space="preserve">(GIPS) combined </w:t>
      </w:r>
      <w:r w:rsidRPr="00B904CA">
        <w:t>between 2010 and 2015</w:t>
      </w:r>
      <w:r w:rsidR="00C77B65">
        <w:t xml:space="preserve"> (Figure 11)</w:t>
      </w:r>
      <w:r w:rsidR="00FC4690">
        <w:t>. But</w:t>
      </w:r>
      <w:r w:rsidRPr="00B904CA">
        <w:t xml:space="preserve"> there is </w:t>
      </w:r>
      <w:r w:rsidR="00A04D5E">
        <w:t xml:space="preserve">a </w:t>
      </w:r>
      <w:r w:rsidRPr="00B904CA">
        <w:t>positive correlation for the G6 alone.  In other words, the tighter the fiscal impact, the better the GDP pick-up in the G6 economies – the opposite of the conclusions of the Keynesian multiplier.</w:t>
      </w:r>
    </w:p>
    <w:p w:rsidR="0099407E" w:rsidRPr="00C77B65" w:rsidRDefault="00C77B65" w:rsidP="0099407E">
      <w:pPr>
        <w:rPr>
          <w:u w:val="single"/>
        </w:rPr>
      </w:pPr>
      <w:r>
        <w:rPr>
          <w:u w:val="single"/>
        </w:rPr>
        <w:t xml:space="preserve">Figure 11. </w:t>
      </w:r>
      <w:r w:rsidR="0099407E" w:rsidRPr="00C77B65">
        <w:rPr>
          <w:u w:val="single"/>
        </w:rPr>
        <w:t>Changes in real GDP and the cyclically adjusted primary balance as % of GDP, 2010-15.</w:t>
      </w:r>
    </w:p>
    <w:p w:rsidR="0099407E" w:rsidRDefault="0099407E" w:rsidP="0099407E">
      <w:r>
        <w:rPr>
          <w:noProof/>
          <w:lang w:eastAsia="en-GB"/>
        </w:rPr>
        <w:drawing>
          <wp:inline distT="0" distB="0" distL="0" distR="0" wp14:anchorId="5E8F63E7" wp14:editId="3DF88742">
            <wp:extent cx="5734050" cy="23431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2342112"/>
                    </a:xfrm>
                    <a:prstGeom prst="rect">
                      <a:avLst/>
                    </a:prstGeom>
                    <a:noFill/>
                    <a:ln>
                      <a:noFill/>
                    </a:ln>
                  </pic:spPr>
                </pic:pic>
              </a:graphicData>
            </a:graphic>
          </wp:inline>
        </w:drawing>
      </w:r>
    </w:p>
    <w:p w:rsidR="00C77B65" w:rsidRPr="00C77B65" w:rsidRDefault="00C77B65" w:rsidP="00C77B65">
      <w:pPr>
        <w:rPr>
          <w:i/>
        </w:rPr>
      </w:pPr>
      <w:r w:rsidRPr="00C77B65">
        <w:rPr>
          <w:i/>
        </w:rPr>
        <w:t>Source: IMF data, author’s calculations</w:t>
      </w:r>
    </w:p>
    <w:p w:rsidR="0099407E" w:rsidRDefault="00FC4690" w:rsidP="0099407E">
      <w:r>
        <w:t>Then i</w:t>
      </w:r>
      <w:r w:rsidR="0099407E" w:rsidRPr="00B904CA">
        <w:t>f we compare changes in government spending to GDP against the average rate of real GDP growth since 2009 for the OECD economies, there is a very weak positive correlation and none</w:t>
      </w:r>
      <w:r w:rsidR="00C77B65">
        <w:t xml:space="preserve"> if Greece is removed (Figure 12</w:t>
      </w:r>
      <w:r w:rsidR="0099407E" w:rsidRPr="00B904CA">
        <w:t>).</w:t>
      </w:r>
    </w:p>
    <w:p w:rsidR="0099407E" w:rsidRPr="00C77B65" w:rsidRDefault="0099407E" w:rsidP="0099407E">
      <w:pPr>
        <w:rPr>
          <w:u w:val="single"/>
        </w:rPr>
      </w:pPr>
      <w:r w:rsidRPr="00C77B65">
        <w:rPr>
          <w:u w:val="single"/>
        </w:rPr>
        <w:t>Figure 1</w:t>
      </w:r>
      <w:r w:rsidR="00C77B65" w:rsidRPr="00C77B65">
        <w:rPr>
          <w:u w:val="single"/>
        </w:rPr>
        <w:t>2</w:t>
      </w:r>
      <w:r w:rsidRPr="00C77B65">
        <w:rPr>
          <w:u w:val="single"/>
        </w:rPr>
        <w:t>. The average rate of real GDP growth since 2009 (%) in the OECD economies and the change in government spending to GDP (%).</w:t>
      </w:r>
    </w:p>
    <w:p w:rsidR="0099407E" w:rsidRDefault="0099407E" w:rsidP="0099407E">
      <w:r>
        <w:rPr>
          <w:noProof/>
          <w:lang w:eastAsia="en-GB"/>
        </w:rPr>
        <w:lastRenderedPageBreak/>
        <w:drawing>
          <wp:inline distT="0" distB="0" distL="0" distR="0" wp14:anchorId="0269CFDD" wp14:editId="3057FF71">
            <wp:extent cx="5372100" cy="2371725"/>
            <wp:effectExtent l="0" t="0" r="0" b="9525"/>
            <wp:docPr id="21" name="Picture 21" descr="Growth and austerity">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rowth and austerity">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72100" cy="2371725"/>
                    </a:xfrm>
                    <a:prstGeom prst="rect">
                      <a:avLst/>
                    </a:prstGeom>
                    <a:noFill/>
                    <a:ln>
                      <a:noFill/>
                    </a:ln>
                  </pic:spPr>
                </pic:pic>
              </a:graphicData>
            </a:graphic>
          </wp:inline>
        </w:drawing>
      </w:r>
    </w:p>
    <w:p w:rsidR="00C77B65" w:rsidRPr="00C77B65" w:rsidRDefault="00C77B65" w:rsidP="00C77B65">
      <w:pPr>
        <w:rPr>
          <w:i/>
        </w:rPr>
      </w:pPr>
      <w:r w:rsidRPr="00C77B65">
        <w:rPr>
          <w:i/>
        </w:rPr>
        <w:t>Source: AMECO database, author’s calculations</w:t>
      </w:r>
    </w:p>
    <w:p w:rsidR="0099407E" w:rsidRDefault="00281DD7" w:rsidP="0099407E">
      <w:pPr>
        <w:rPr>
          <w:rFonts w:ascii="Verdana" w:hAnsi="Verdana"/>
          <w:sz w:val="18"/>
          <w:szCs w:val="18"/>
        </w:rPr>
      </w:pPr>
      <w:hyperlink r:id="rId27" w:history="1">
        <w:r w:rsidR="0099407E" w:rsidRPr="006D6866">
          <w:t xml:space="preserve">Alberto </w:t>
        </w:r>
        <w:proofErr w:type="spellStart"/>
        <w:r w:rsidR="0099407E" w:rsidRPr="006D6866">
          <w:t>Alesina</w:t>
        </w:r>
        <w:proofErr w:type="spellEnd"/>
        <w:r w:rsidR="0099407E" w:rsidRPr="006D6866">
          <w:t xml:space="preserve"> and Francesco </w:t>
        </w:r>
        <w:proofErr w:type="spellStart"/>
        <w:r w:rsidR="0099407E" w:rsidRPr="006D6866">
          <w:t>Giavassi</w:t>
        </w:r>
        <w:proofErr w:type="spellEnd"/>
      </w:hyperlink>
      <w:r w:rsidR="0099407E">
        <w:t xml:space="preserve"> </w:t>
      </w:r>
      <w:r w:rsidR="0099407E" w:rsidRPr="006D6866">
        <w:t>found that </w:t>
      </w:r>
      <w:r w:rsidR="0099407E" w:rsidRPr="00B904CA">
        <w:rPr>
          <w:i/>
        </w:rPr>
        <w:t>“fiscal adjustments based upon cuts in spending are much less costly, in terms of output losses, than those based upon tax increases. ….spending-based adjustments generate very small recessions, with an impact on output growth not significantly different from zero.”  </w:t>
      </w:r>
      <w:r w:rsidR="0099407E" w:rsidRPr="00FC4690">
        <w:t>And</w:t>
      </w:r>
      <w:r w:rsidR="0099407E" w:rsidRPr="00B904CA">
        <w:rPr>
          <w:i/>
        </w:rPr>
        <w:t xml:space="preserve"> “Our findings seem to hold for fiscal adjustments both before and after the financial crisis. We cannot reject the hypothesis that the effects of the fiscal adjustments, especially in Europe in 2009-13, were indistinguishable from previous ones”</w:t>
      </w:r>
      <w:r w:rsidR="0099407E" w:rsidRPr="006D6866">
        <w:t>.  In other words, cutting government spending (austerity) had little effect on the real GDP growth rate and that applied to the post-crisis ‘austerity</w:t>
      </w:r>
      <w:r w:rsidR="0099407E">
        <w:t xml:space="preserve">’ </w:t>
      </w:r>
      <w:r w:rsidR="0099407E" w:rsidRPr="006D6866">
        <w:t>policies of European governments</w:t>
      </w:r>
      <w:r w:rsidR="0099407E">
        <w:rPr>
          <w:rFonts w:ascii="Verdana" w:hAnsi="Verdana"/>
          <w:sz w:val="18"/>
          <w:szCs w:val="18"/>
        </w:rPr>
        <w:t>.</w:t>
      </w:r>
      <w:r w:rsidR="0099407E">
        <w:rPr>
          <w:rStyle w:val="EndnoteReference"/>
          <w:rFonts w:ascii="Verdana" w:hAnsi="Verdana"/>
          <w:sz w:val="18"/>
          <w:szCs w:val="18"/>
        </w:rPr>
        <w:endnoteReference w:id="32"/>
      </w:r>
    </w:p>
    <w:p w:rsidR="0099407E" w:rsidRDefault="0099407E" w:rsidP="00185EAA">
      <w:pPr>
        <w:rPr>
          <w:rFonts w:ascii="Verdana" w:hAnsi="Verdana"/>
          <w:sz w:val="18"/>
          <w:szCs w:val="18"/>
        </w:rPr>
      </w:pPr>
      <w:r w:rsidRPr="00185EAA">
        <w:rPr>
          <w:shd w:val="clear" w:color="auto" w:fill="FAFAFA"/>
        </w:rPr>
        <w:t xml:space="preserve">Again, </w:t>
      </w:r>
      <w:proofErr w:type="spellStart"/>
      <w:r w:rsidRPr="00185EAA">
        <w:rPr>
          <w:shd w:val="clear" w:color="auto" w:fill="FAFAFA"/>
        </w:rPr>
        <w:t>Cugnasca</w:t>
      </w:r>
      <w:proofErr w:type="spellEnd"/>
      <w:r w:rsidRPr="00185EAA">
        <w:rPr>
          <w:shd w:val="clear" w:color="auto" w:fill="FAFAFA"/>
        </w:rPr>
        <w:t xml:space="preserve"> and Rother from the EU Commission find that </w:t>
      </w:r>
      <w:r w:rsidR="00AE44E5" w:rsidRPr="00185EAA">
        <w:rPr>
          <w:shd w:val="clear" w:color="auto" w:fill="FAFAFA"/>
        </w:rPr>
        <w:t>the Keynesian multiplier was well below 1 in the post-Great Recession period.  T</w:t>
      </w:r>
      <w:r w:rsidRPr="00185EAA">
        <w:rPr>
          <w:shd w:val="clear" w:color="auto" w:fill="FAFAFA"/>
        </w:rPr>
        <w:t>he average output cost of a fiscal adjustment equal to 1% of GDP is 0.5% of GDP for the EU as a whole</w:t>
      </w:r>
      <w:r w:rsidR="00AE44E5" w:rsidRPr="00185EAA">
        <w:rPr>
          <w:shd w:val="clear" w:color="auto" w:fill="FAFAFA"/>
        </w:rPr>
        <w:t>,</w:t>
      </w:r>
      <w:r w:rsidRPr="00185EAA">
        <w:rPr>
          <w:shd w:val="clear" w:color="auto" w:fill="FAFAFA"/>
        </w:rPr>
        <w:t xml:space="preserve"> in line with the size of multipliers assumed before the crisis, despite the fact that approximately three quarters of the consolidation episodes that considered occurred after 2009.  </w:t>
      </w:r>
      <w:r w:rsidR="00AE44E5" w:rsidRPr="00185EAA">
        <w:rPr>
          <w:shd w:val="clear" w:color="auto" w:fill="FAFAFA"/>
        </w:rPr>
        <w:t xml:space="preserve">So it is hardly decisive as an explanation for the continuation of the Long Depression after 2009.  </w:t>
      </w:r>
      <w:r w:rsidRPr="00185EAA">
        <w:rPr>
          <w:shd w:val="clear" w:color="auto" w:fill="FAFAFA"/>
        </w:rPr>
        <w:t>The multiplier is somewhat larger at 0.76 for Eurozone countries and EU countries with a currency pegged to the euro, where monetary policy is le</w:t>
      </w:r>
      <w:r w:rsidR="00185EAA">
        <w:rPr>
          <w:shd w:val="clear" w:color="auto" w:fill="FAFAFA"/>
        </w:rPr>
        <w:t xml:space="preserve"> </w:t>
      </w:r>
      <w:proofErr w:type="spellStart"/>
      <w:r w:rsidRPr="00185EAA">
        <w:rPr>
          <w:shd w:val="clear" w:color="auto" w:fill="FAFAFA"/>
        </w:rPr>
        <w:t>ss</w:t>
      </w:r>
      <w:proofErr w:type="spellEnd"/>
      <w:r w:rsidRPr="00185EAA">
        <w:rPr>
          <w:shd w:val="clear" w:color="auto" w:fill="FAFAFA"/>
        </w:rPr>
        <w:t xml:space="preserve"> able to compensate for country-specific adjustments.</w:t>
      </w:r>
      <w:r w:rsidRPr="00185EAA">
        <w:rPr>
          <w:rStyle w:val="EndnoteReference"/>
          <w:rFonts w:ascii="Verdana" w:hAnsi="Verdana"/>
          <w:sz w:val="18"/>
          <w:szCs w:val="18"/>
        </w:rPr>
        <w:t xml:space="preserve"> </w:t>
      </w:r>
      <w:r w:rsidRPr="00185EAA">
        <w:rPr>
          <w:rStyle w:val="EndnoteReference"/>
          <w:rFonts w:ascii="Verdana" w:hAnsi="Verdana"/>
          <w:sz w:val="18"/>
          <w:szCs w:val="18"/>
        </w:rPr>
        <w:endnoteReference w:id="33"/>
      </w:r>
    </w:p>
    <w:p w:rsidR="00185EAA" w:rsidRDefault="00185EAA" w:rsidP="00FD713D">
      <w:proofErr w:type="spellStart"/>
      <w:r>
        <w:t>Carchedi</w:t>
      </w:r>
      <w:proofErr w:type="spellEnd"/>
      <w:r>
        <w:t xml:space="preserve"> finds </w:t>
      </w:r>
      <w:r w:rsidR="00883C5A">
        <w:t xml:space="preserve">empirically </w:t>
      </w:r>
      <w:r w:rsidR="00FD713D">
        <w:t xml:space="preserve">(Figure 13) </w:t>
      </w:r>
      <w:r>
        <w:t xml:space="preserve">that 1) </w:t>
      </w:r>
      <w:r w:rsidRPr="00185EAA">
        <w:t>up to the early 1990s rising government expenditure could not</w:t>
      </w:r>
      <w:r>
        <w:t xml:space="preserve"> stop</w:t>
      </w:r>
      <w:r w:rsidRPr="00185EAA">
        <w:t xml:space="preserve"> the fall in the </w:t>
      </w:r>
      <w:r>
        <w:t xml:space="preserve">rate of profit in the post-war period </w:t>
      </w:r>
      <w:r w:rsidR="00883C5A">
        <w:t xml:space="preserve">and </w:t>
      </w:r>
      <w:r>
        <w:t>2)</w:t>
      </w:r>
      <w:r w:rsidR="00883C5A" w:rsidRPr="00883C5A">
        <w:t xml:space="preserve"> government expenditures rise from the year preceding the crisis </w:t>
      </w:r>
      <w:r w:rsidR="00883C5A">
        <w:t>to the last crisis years in all post-war recessions (</w:t>
      </w:r>
      <w:r w:rsidR="00883C5A" w:rsidRPr="00883C5A">
        <w:t>except 1954</w:t>
      </w:r>
      <w:r w:rsidR="00883C5A">
        <w:t>)</w:t>
      </w:r>
      <w:r w:rsidR="00883C5A" w:rsidRPr="00883C5A">
        <w:t xml:space="preserve">. So rising government expenditures did not </w:t>
      </w:r>
      <w:r w:rsidR="00883C5A">
        <w:t>stop slumps and 3) government spending does not ‘reboot’ the economy</w:t>
      </w:r>
      <w:r w:rsidR="00883C5A" w:rsidRPr="00883C5A">
        <w:t xml:space="preserve">. </w:t>
      </w:r>
      <w:r w:rsidR="00883C5A">
        <w:rPr>
          <w:rStyle w:val="EndnoteReference"/>
          <w:rFonts w:ascii="Verdana" w:hAnsi="Verdana"/>
          <w:sz w:val="18"/>
          <w:szCs w:val="18"/>
        </w:rPr>
        <w:endnoteReference w:id="34"/>
      </w:r>
    </w:p>
    <w:p w:rsidR="00FD713D" w:rsidRPr="00FD713D" w:rsidRDefault="00FD713D" w:rsidP="00FD713D">
      <w:pPr>
        <w:rPr>
          <w:u w:val="single"/>
        </w:rPr>
      </w:pPr>
      <w:r w:rsidRPr="00FD713D">
        <w:rPr>
          <w:u w:val="single"/>
        </w:rPr>
        <w:t>Figure 13: Government spending to GDP, percentage change in year before slump to end, US post-war recessions (%)</w:t>
      </w:r>
    </w:p>
    <w:p w:rsidR="00FD713D" w:rsidRDefault="00FD713D" w:rsidP="00FD713D">
      <w:r w:rsidRPr="00FD713D">
        <w:rPr>
          <w:noProof/>
          <w:lang w:eastAsia="en-GB"/>
        </w:rPr>
        <w:lastRenderedPageBreak/>
        <w:drawing>
          <wp:inline distT="0" distB="0" distL="0" distR="0" wp14:anchorId="4ADB4C0E" wp14:editId="5A0193A5">
            <wp:extent cx="5731510" cy="3262552"/>
            <wp:effectExtent l="0" t="0" r="2540" b="0"/>
            <wp:docPr id="1"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Grp="1"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31510" cy="3262552"/>
                    </a:xfrm>
                    <a:prstGeom prst="rect">
                      <a:avLst/>
                    </a:prstGeom>
                    <a:noFill/>
                    <a:ln>
                      <a:noFill/>
                    </a:ln>
                    <a:effectLst/>
                    <a:extLst/>
                  </pic:spPr>
                </pic:pic>
              </a:graphicData>
            </a:graphic>
          </wp:inline>
        </w:drawing>
      </w:r>
    </w:p>
    <w:p w:rsidR="00FD713D" w:rsidRPr="00FD713D" w:rsidRDefault="00FD713D" w:rsidP="00FD713D">
      <w:pPr>
        <w:rPr>
          <w:i/>
        </w:rPr>
      </w:pPr>
      <w:r w:rsidRPr="00FD713D">
        <w:rPr>
          <w:i/>
        </w:rPr>
        <w:t xml:space="preserve">Source: </w:t>
      </w:r>
      <w:proofErr w:type="spellStart"/>
      <w:r w:rsidRPr="00FD713D">
        <w:rPr>
          <w:i/>
        </w:rPr>
        <w:t>Carchedi</w:t>
      </w:r>
      <w:proofErr w:type="spellEnd"/>
    </w:p>
    <w:p w:rsidR="0099407E" w:rsidRDefault="0099407E" w:rsidP="0099407E">
      <w:r w:rsidRPr="00737CF9">
        <w:t>Now let’s consider the impact of changes in the profitability of business capital against economic growth (the Marxist multiplier)</w:t>
      </w:r>
      <w:r w:rsidR="00AA3C35">
        <w:rPr>
          <w:rStyle w:val="EndnoteReference"/>
        </w:rPr>
        <w:endnoteReference w:id="35"/>
      </w:r>
      <w:r w:rsidRPr="00737CF9">
        <w:t xml:space="preserve">.  </w:t>
      </w:r>
      <w:r w:rsidR="009462AE">
        <w:t xml:space="preserve">Taking the same data as </w:t>
      </w:r>
      <w:proofErr w:type="spellStart"/>
      <w:r w:rsidR="009462AE">
        <w:t>Krugman</w:t>
      </w:r>
      <w:proofErr w:type="spellEnd"/>
      <w:r w:rsidR="009462AE">
        <w:t>,</w:t>
      </w:r>
      <w:r w:rsidR="00185EAA">
        <w:t xml:space="preserve"> we find </w:t>
      </w:r>
      <w:r w:rsidR="009462AE">
        <w:t>that t</w:t>
      </w:r>
      <w:r w:rsidRPr="00737CF9">
        <w:t>here is a significant positive correlation between changes in profitability of capital</w:t>
      </w:r>
      <w:r w:rsidR="009462AE">
        <w:t xml:space="preserve"> (net return on the stock of fixed assets)</w:t>
      </w:r>
      <w:r w:rsidRPr="00737CF9">
        <w:t xml:space="preserve"> and economic growth</w:t>
      </w:r>
      <w:r w:rsidR="009462AE">
        <w:t xml:space="preserve"> for the G6 economies</w:t>
      </w:r>
      <w:r w:rsidR="00C77B65">
        <w:t xml:space="preserve"> (Figure 1</w:t>
      </w:r>
      <w:r w:rsidR="00FD713D">
        <w:t>4</w:t>
      </w:r>
      <w:r w:rsidR="00C77B65">
        <w:t>)</w:t>
      </w:r>
      <w:r w:rsidRPr="00737CF9">
        <w:t>.</w:t>
      </w:r>
    </w:p>
    <w:p w:rsidR="0099407E" w:rsidRPr="00C77B65" w:rsidRDefault="00FD713D" w:rsidP="0099407E">
      <w:pPr>
        <w:rPr>
          <w:u w:val="single"/>
        </w:rPr>
      </w:pPr>
      <w:proofErr w:type="gramStart"/>
      <w:r>
        <w:rPr>
          <w:u w:val="single"/>
        </w:rPr>
        <w:t>Figure 4</w:t>
      </w:r>
      <w:r w:rsidR="00C77B65" w:rsidRPr="00C77B65">
        <w:rPr>
          <w:u w:val="single"/>
        </w:rPr>
        <w:t>3.</w:t>
      </w:r>
      <w:proofErr w:type="gramEnd"/>
      <w:r w:rsidR="00C77B65" w:rsidRPr="00C77B65">
        <w:rPr>
          <w:u w:val="single"/>
        </w:rPr>
        <w:t xml:space="preserve"> </w:t>
      </w:r>
      <w:r w:rsidR="0099407E" w:rsidRPr="00C77B65">
        <w:rPr>
          <w:u w:val="single"/>
        </w:rPr>
        <w:t>The Marxist multiplier: change in real GDP and change in net return on capital, %, 2010-25</w:t>
      </w:r>
      <w:r w:rsidR="009462AE" w:rsidRPr="00C77B65">
        <w:rPr>
          <w:u w:val="single"/>
        </w:rPr>
        <w:t xml:space="preserve"> (blue spots are individual EZ states)</w:t>
      </w:r>
      <w:r w:rsidR="0099407E" w:rsidRPr="00C77B65">
        <w:rPr>
          <w:u w:val="single"/>
        </w:rPr>
        <w:t>.</w:t>
      </w:r>
    </w:p>
    <w:p w:rsidR="0099407E" w:rsidRDefault="0099407E" w:rsidP="0099407E">
      <w:r>
        <w:rPr>
          <w:noProof/>
          <w:lang w:eastAsia="en-GB"/>
        </w:rPr>
        <w:drawing>
          <wp:inline distT="0" distB="0" distL="0" distR="0" wp14:anchorId="3AEF67B2" wp14:editId="0D69F9C0">
            <wp:extent cx="5734050" cy="29813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31510" cy="2980004"/>
                    </a:xfrm>
                    <a:prstGeom prst="rect">
                      <a:avLst/>
                    </a:prstGeom>
                    <a:noFill/>
                    <a:ln>
                      <a:noFill/>
                    </a:ln>
                  </pic:spPr>
                </pic:pic>
              </a:graphicData>
            </a:graphic>
          </wp:inline>
        </w:drawing>
      </w:r>
    </w:p>
    <w:p w:rsidR="00C77B65" w:rsidRPr="00C77B65" w:rsidRDefault="00C77B65" w:rsidP="0099407E">
      <w:pPr>
        <w:rPr>
          <w:i/>
        </w:rPr>
      </w:pPr>
      <w:r w:rsidRPr="00C77B65">
        <w:rPr>
          <w:i/>
        </w:rPr>
        <w:t>Source: AMECO database, author’s calculations</w:t>
      </w:r>
    </w:p>
    <w:p w:rsidR="009462AE" w:rsidRDefault="0099407E" w:rsidP="0099407E">
      <w:r w:rsidRPr="00737CF9">
        <w:lastRenderedPageBreak/>
        <w:t xml:space="preserve">The correlations are positive for G6 plus the distressed Eurozone economies (GIPS) and at much higher levels than with the Keynesian multiplier.  </w:t>
      </w:r>
    </w:p>
    <w:p w:rsidR="0099407E" w:rsidRDefault="00185EAA" w:rsidP="0099407E">
      <w:r>
        <w:t>If we then</w:t>
      </w:r>
      <w:r w:rsidR="009462AE">
        <w:t xml:space="preserve"> compare average real GDP growth against the average change in government spending and as a ratio of the change in the net return on capital for successive decades since 1960</w:t>
      </w:r>
      <w:r w:rsidR="00FD713D">
        <w:t xml:space="preserve"> (Figure 15</w:t>
      </w:r>
      <w:r w:rsidR="00C77B65">
        <w:t>)</w:t>
      </w:r>
      <w:r w:rsidR="009462AE">
        <w:t xml:space="preserve">.  </w:t>
      </w:r>
      <w:r>
        <w:t>R</w:t>
      </w:r>
      <w:r w:rsidR="0099407E" w:rsidRPr="00737CF9">
        <w:t>eal GDP growth is strongly correlated with changes in the profitability of capital</w:t>
      </w:r>
      <w:r w:rsidR="00A85296">
        <w:t xml:space="preserve"> (Marxist multiplier)</w:t>
      </w:r>
      <w:r w:rsidR="0099407E" w:rsidRPr="00737CF9">
        <w:t xml:space="preserve">, while the correlation </w:t>
      </w:r>
      <w:r w:rsidR="0065610D">
        <w:t>was</w:t>
      </w:r>
      <w:r w:rsidR="0099407E" w:rsidRPr="00737CF9">
        <w:t xml:space="preserve"> negative with changes in government spending</w:t>
      </w:r>
      <w:r w:rsidR="00A85296">
        <w:t xml:space="preserve"> (Keynesian multiplier)</w:t>
      </w:r>
      <w:r w:rsidR="0099407E" w:rsidRPr="00737CF9">
        <w:t>.</w:t>
      </w:r>
      <w:r w:rsidR="0065610D">
        <w:t xml:space="preserve">  </w:t>
      </w:r>
      <w:r w:rsidR="00A85296">
        <w:t>T</w:t>
      </w:r>
      <w:r w:rsidR="0065610D">
        <w:t>he Marxist multiplier was considerably higher in three out of the five decades, and particularly in the current post Great Recession period.  And in the other two decades, the Keynesian multiplier was only slightly higher and failed to go above 1.</w:t>
      </w:r>
      <w:r w:rsidR="00A85296">
        <w:t xml:space="preserve">  Thus there was strong evidence that the Marxist multiplier is more relevant to economic recovery under capitalism than the Keynesian multiplier.</w:t>
      </w:r>
    </w:p>
    <w:p w:rsidR="0099407E" w:rsidRPr="00C77B65" w:rsidRDefault="00C77B65" w:rsidP="0099407E">
      <w:pPr>
        <w:rPr>
          <w:u w:val="single"/>
        </w:rPr>
      </w:pPr>
      <w:proofErr w:type="gramStart"/>
      <w:r w:rsidRPr="00C77B65">
        <w:rPr>
          <w:u w:val="single"/>
        </w:rPr>
        <w:t>Figure 1</w:t>
      </w:r>
      <w:r w:rsidR="00FD713D">
        <w:rPr>
          <w:u w:val="single"/>
        </w:rPr>
        <w:t>5</w:t>
      </w:r>
      <w:r w:rsidRPr="00C77B65">
        <w:rPr>
          <w:u w:val="single"/>
        </w:rPr>
        <w:t>.</w:t>
      </w:r>
      <w:proofErr w:type="gramEnd"/>
      <w:r w:rsidRPr="00C77B65">
        <w:rPr>
          <w:u w:val="single"/>
        </w:rPr>
        <w:t xml:space="preserve"> </w:t>
      </w:r>
      <w:r w:rsidR="0099407E" w:rsidRPr="00C77B65">
        <w:rPr>
          <w:u w:val="single"/>
        </w:rPr>
        <w:t>Average real GDP growth as a ratio of the average change in real government spending and the net return on capital.</w:t>
      </w:r>
    </w:p>
    <w:p w:rsidR="0099407E" w:rsidRDefault="0099407E" w:rsidP="0099407E">
      <w:r>
        <w:rPr>
          <w:noProof/>
          <w:lang w:eastAsia="en-GB"/>
        </w:rPr>
        <w:drawing>
          <wp:inline distT="0" distB="0" distL="0" distR="0" wp14:anchorId="359EE54F" wp14:editId="2BCFE822">
            <wp:extent cx="5734050" cy="30194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31510" cy="3018087"/>
                    </a:xfrm>
                    <a:prstGeom prst="rect">
                      <a:avLst/>
                    </a:prstGeom>
                    <a:noFill/>
                    <a:ln>
                      <a:noFill/>
                    </a:ln>
                  </pic:spPr>
                </pic:pic>
              </a:graphicData>
            </a:graphic>
          </wp:inline>
        </w:drawing>
      </w:r>
    </w:p>
    <w:p w:rsidR="00C77B65" w:rsidRPr="00C77B65" w:rsidRDefault="00C77B65" w:rsidP="0099407E">
      <w:pPr>
        <w:rPr>
          <w:i/>
        </w:rPr>
      </w:pPr>
      <w:r w:rsidRPr="00C77B65">
        <w:rPr>
          <w:i/>
        </w:rPr>
        <w:t>Source: AMECO database, author’s calculations</w:t>
      </w:r>
    </w:p>
    <w:p w:rsidR="0099407E" w:rsidRDefault="00555D24" w:rsidP="00555D24">
      <w:r>
        <w:t xml:space="preserve">Another case study is Japan since 1998. </w:t>
      </w:r>
      <w:r w:rsidR="00185EAA">
        <w:t xml:space="preserve">Take </w:t>
      </w:r>
      <w:r w:rsidR="0099407E">
        <w:t>the average budget deficit to GDP for Japan, the US and the Euro area against real GDP growth since 1998.  1998 is the date that most economists argue was the point when the Japanese authorities went for broke with Keynesian-type government spending policies designed to restore economic growth.  Did it work?</w:t>
      </w:r>
    </w:p>
    <w:p w:rsidR="0099407E" w:rsidRDefault="00555D24" w:rsidP="0099407E">
      <w:r>
        <w:t>B</w:t>
      </w:r>
      <w:r w:rsidR="0099407E">
        <w:t>etween 1998 and 2007, Japan’s average budget deficit was 6.</w:t>
      </w:r>
      <w:r w:rsidR="00C1635E">
        <w:t>1</w:t>
      </w:r>
      <w:r w:rsidR="0099407E">
        <w:t>% of GDP, while real GDP growth averaged just 1%.  In the same period, the US budget deficit was just 2% of GDP, less than one-third of that of Japan, but real GDP growth was 3% a year, or three times as fast as Japan.  In the Euro area, the budget deficit was even lower at 1.9% of GDP, but real GDP growth still averaged 2.3% a year, or more than twice that of Japan.  So the Keynesian multiplier did not seem to do its job in Japan over a ten-year period</w:t>
      </w:r>
      <w:r w:rsidR="00C1635E">
        <w:t xml:space="preserve"> (Figure 1</w:t>
      </w:r>
      <w:r w:rsidR="00FD713D">
        <w:t>6</w:t>
      </w:r>
      <w:r w:rsidR="00C1635E">
        <w:t>)</w:t>
      </w:r>
      <w:r w:rsidR="0099407E">
        <w:t xml:space="preserve">.   Again, in the credit boom period of 2002-07, Japan’s </w:t>
      </w:r>
      <w:r w:rsidR="0099407E">
        <w:lastRenderedPageBreak/>
        <w:t>average real GDP growth was the lowest even though its budget deficit was way higher than the US or the Eurozone.</w:t>
      </w:r>
    </w:p>
    <w:p w:rsidR="00C1635E" w:rsidRPr="00C1635E" w:rsidRDefault="00C1635E" w:rsidP="0099407E">
      <w:pPr>
        <w:rPr>
          <w:u w:val="single"/>
        </w:rPr>
      </w:pPr>
      <w:proofErr w:type="gramStart"/>
      <w:r w:rsidRPr="00C1635E">
        <w:rPr>
          <w:u w:val="single"/>
        </w:rPr>
        <w:t>Figure 1</w:t>
      </w:r>
      <w:r w:rsidR="00FD713D">
        <w:rPr>
          <w:u w:val="single"/>
        </w:rPr>
        <w:t>6</w:t>
      </w:r>
      <w:r w:rsidRPr="00C1635E">
        <w:rPr>
          <w:u w:val="single"/>
        </w:rPr>
        <w:t>.</w:t>
      </w:r>
      <w:proofErr w:type="gramEnd"/>
      <w:r w:rsidRPr="00C1635E">
        <w:rPr>
          <w:u w:val="single"/>
        </w:rPr>
        <w:t xml:space="preserve"> Average budget balances and real GDP growth, 1998-07 (%)</w:t>
      </w:r>
    </w:p>
    <w:p w:rsidR="0099407E" w:rsidRDefault="0099407E" w:rsidP="0099407E">
      <w:r>
        <w:rPr>
          <w:noProof/>
          <w:lang w:eastAsia="en-GB"/>
        </w:rPr>
        <w:drawing>
          <wp:inline distT="0" distB="0" distL="0" distR="0" wp14:anchorId="6209316C" wp14:editId="15B9EA9B">
            <wp:extent cx="5172075" cy="2809875"/>
            <wp:effectExtent l="0" t="0" r="9525" b="9525"/>
            <wp:docPr id="8" name="Picture 8" descr="https://thenextrecession.files.wordpress.com/2012/10/image002.gif?w=450&amp;h=295">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henextrecession.files.wordpress.com/2012/10/image002.gif?w=450&amp;h=295">
                      <a:hlinkClick r:id="rId31"/>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70906" cy="2809240"/>
                    </a:xfrm>
                    <a:prstGeom prst="rect">
                      <a:avLst/>
                    </a:prstGeom>
                    <a:noFill/>
                    <a:ln>
                      <a:noFill/>
                    </a:ln>
                  </pic:spPr>
                </pic:pic>
              </a:graphicData>
            </a:graphic>
          </wp:inline>
        </w:drawing>
      </w:r>
    </w:p>
    <w:p w:rsidR="00C1635E" w:rsidRPr="00C1635E" w:rsidRDefault="00C1635E" w:rsidP="0099407E">
      <w:pPr>
        <w:rPr>
          <w:i/>
        </w:rPr>
      </w:pPr>
      <w:r w:rsidRPr="00C1635E">
        <w:rPr>
          <w:i/>
        </w:rPr>
        <w:t>Source: OECD, author’s calcu</w:t>
      </w:r>
      <w:r w:rsidR="00A85296">
        <w:rPr>
          <w:i/>
        </w:rPr>
        <w:t>la</w:t>
      </w:r>
      <w:r w:rsidRPr="00C1635E">
        <w:rPr>
          <w:i/>
        </w:rPr>
        <w:t>tions</w:t>
      </w:r>
    </w:p>
    <w:p w:rsidR="0099407E" w:rsidRDefault="0099407E" w:rsidP="0099407E">
      <w:r>
        <w:t>There does not seem to be any evidence that bigger government spending or wider budget deficits will lead to faster investment or economic growth over time in capitalist economies.  Indeed, the evidence is to the contrary much of time.  The Marxist multiplier of profitability and investment seems more convincing.</w:t>
      </w:r>
    </w:p>
    <w:p w:rsidR="00A85296" w:rsidRDefault="00A85296" w:rsidP="00A85296">
      <w:r>
        <w:t>CONCLUSION</w:t>
      </w:r>
    </w:p>
    <w:p w:rsidR="00555D24" w:rsidRDefault="000E19E2" w:rsidP="009A1818">
      <w:r>
        <w:rPr>
          <w:shd w:val="clear" w:color="auto" w:fill="FFFFFF"/>
        </w:rPr>
        <w:t>The Keynesians see the economy as a mone</w:t>
      </w:r>
      <w:r w:rsidR="00185EAA">
        <w:rPr>
          <w:shd w:val="clear" w:color="auto" w:fill="FFFFFF"/>
        </w:rPr>
        <w:t xml:space="preserve">tary </w:t>
      </w:r>
      <w:r>
        <w:rPr>
          <w:shd w:val="clear" w:color="auto" w:fill="FFFFFF"/>
        </w:rPr>
        <w:t xml:space="preserve">economy </w:t>
      </w:r>
      <w:r w:rsidR="00555D24">
        <w:rPr>
          <w:shd w:val="clear" w:color="auto" w:fill="FFFFFF"/>
        </w:rPr>
        <w:t>but</w:t>
      </w:r>
      <w:r>
        <w:rPr>
          <w:shd w:val="clear" w:color="auto" w:fill="FFFFFF"/>
        </w:rPr>
        <w:t xml:space="preserve"> </w:t>
      </w:r>
      <w:r w:rsidR="00185EAA">
        <w:rPr>
          <w:shd w:val="clear" w:color="auto" w:fill="FFFFFF"/>
        </w:rPr>
        <w:t>ignore</w:t>
      </w:r>
      <w:r>
        <w:rPr>
          <w:shd w:val="clear" w:color="auto" w:fill="FFFFFF"/>
        </w:rPr>
        <w:t xml:space="preserve"> that it is a money-making economy</w:t>
      </w:r>
      <w:r w:rsidR="00185EAA">
        <w:rPr>
          <w:shd w:val="clear" w:color="auto" w:fill="FFFFFF"/>
        </w:rPr>
        <w:t xml:space="preserve"> based on privately owned means of production</w:t>
      </w:r>
      <w:r>
        <w:rPr>
          <w:shd w:val="clear" w:color="auto" w:fill="FFFFFF"/>
        </w:rPr>
        <w:t>.</w:t>
      </w:r>
      <w:r w:rsidR="00555D24" w:rsidRPr="00555D24">
        <w:t xml:space="preserve"> </w:t>
      </w:r>
      <w:r w:rsidR="00555D24" w:rsidRPr="00B12BD9">
        <w:rPr>
          <w:i/>
        </w:rPr>
        <w:t>“It is not the ownership of the instruments of production which it is important for the State to assume. If the State is able to determine the aggregate amount of resources devoted to augmenting the instruments and the basic rate of reward to those who own them, it will have accomplished all that is necessary.”</w:t>
      </w:r>
      <w:r w:rsidR="00555D24">
        <w:t xml:space="preserve">  (Keynes).</w:t>
      </w:r>
      <w:r w:rsidR="00555D24" w:rsidRPr="00555D86">
        <w:t xml:space="preserve"> </w:t>
      </w:r>
    </w:p>
    <w:p w:rsidR="007469EC" w:rsidRDefault="007469EC" w:rsidP="007469EC">
      <w:pPr>
        <w:pStyle w:val="ListParagraph"/>
        <w:numPr>
          <w:ilvl w:val="0"/>
          <w:numId w:val="3"/>
        </w:numPr>
      </w:pPr>
      <w:bookmarkStart w:id="1" w:name="ii"/>
      <w:bookmarkStart w:id="2" w:name="iii"/>
      <w:bookmarkEnd w:id="1"/>
      <w:bookmarkEnd w:id="2"/>
      <w:r>
        <w:t>The Keynesian view that effective demand and investment drive profits is logically weak and empirically unproven.</w:t>
      </w:r>
    </w:p>
    <w:p w:rsidR="00A85296" w:rsidRDefault="00A85296" w:rsidP="007469EC">
      <w:pPr>
        <w:pStyle w:val="ListParagraph"/>
        <w:numPr>
          <w:ilvl w:val="0"/>
          <w:numId w:val="3"/>
        </w:numPr>
      </w:pPr>
      <w:r>
        <w:t>The Marxist view is that profitability and profits drive investment in a capitalist economy.  This is theoretically logical and empirically supported.</w:t>
      </w:r>
    </w:p>
    <w:p w:rsidR="007469EC" w:rsidRDefault="007469EC" w:rsidP="007469EC">
      <w:pPr>
        <w:pStyle w:val="ListParagraph"/>
        <w:numPr>
          <w:ilvl w:val="0"/>
          <w:numId w:val="3"/>
        </w:numPr>
      </w:pPr>
      <w:r>
        <w:t xml:space="preserve">This implies that it is the Marxist multiplier (the changes in real GDP relative to profitability) that is a better guide to </w:t>
      </w:r>
      <w:r w:rsidR="009A1818">
        <w:t xml:space="preserve">any </w:t>
      </w:r>
      <w:r>
        <w:t>likely recovery in a capitalist economy than the Keynesian multiplier (changes in real GDP relative to government net spending</w:t>
      </w:r>
      <w:r w:rsidR="00A85296">
        <w:t xml:space="preserve"> - dissaving</w:t>
      </w:r>
      <w:r>
        <w:t>).</w:t>
      </w:r>
    </w:p>
    <w:p w:rsidR="007469EC" w:rsidRDefault="007469EC" w:rsidP="007469EC">
      <w:pPr>
        <w:pStyle w:val="ListParagraph"/>
        <w:numPr>
          <w:ilvl w:val="0"/>
          <w:numId w:val="3"/>
        </w:numPr>
      </w:pPr>
      <w:r>
        <w:t>Keynesian fiscal (and monetary) stimulus policy prescriptions are unlikely to work in restoring investment, growth and employment in a capitalist economy – indeed they could even delay recovery.</w:t>
      </w:r>
    </w:p>
    <w:sectPr w:rsidR="007469EC">
      <w:headerReference w:type="default" r:id="rId33"/>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DD7" w:rsidRDefault="00281DD7" w:rsidP="007C274F">
      <w:pPr>
        <w:spacing w:after="0" w:line="240" w:lineRule="auto"/>
      </w:pPr>
      <w:r>
        <w:separator/>
      </w:r>
    </w:p>
  </w:endnote>
  <w:endnote w:type="continuationSeparator" w:id="0">
    <w:p w:rsidR="00281DD7" w:rsidRDefault="00281DD7" w:rsidP="007C274F">
      <w:pPr>
        <w:spacing w:after="0" w:line="240" w:lineRule="auto"/>
      </w:pPr>
      <w:r>
        <w:continuationSeparator/>
      </w:r>
    </w:p>
  </w:endnote>
  <w:endnote w:id="1">
    <w:p w:rsidR="002550DB" w:rsidRPr="002550DB" w:rsidRDefault="002550DB" w:rsidP="002550DB">
      <w:pPr>
        <w:rPr>
          <w:sz w:val="20"/>
          <w:szCs w:val="20"/>
        </w:rPr>
      </w:pPr>
      <w:r>
        <w:rPr>
          <w:rStyle w:val="EndnoteReference"/>
        </w:rPr>
        <w:endnoteRef/>
      </w:r>
      <w:r>
        <w:t xml:space="preserve"> </w:t>
      </w:r>
      <w:r w:rsidRPr="002550DB">
        <w:rPr>
          <w:sz w:val="20"/>
          <w:szCs w:val="20"/>
        </w:rPr>
        <w:t>In his 1978 book: “Factors in Business Investment,” published by the NBER, Bob Eisner</w:t>
      </w:r>
      <w:r w:rsidRPr="002550DB">
        <w:rPr>
          <w:rStyle w:val="EndnoteReference"/>
          <w:sz w:val="20"/>
          <w:szCs w:val="20"/>
        </w:rPr>
        <w:endnoteRef/>
      </w:r>
      <w:r w:rsidRPr="002550DB">
        <w:rPr>
          <w:sz w:val="20"/>
          <w:szCs w:val="20"/>
        </w:rPr>
        <w:t xml:space="preserve"> summarized much of his work on investment. The opening paragraph of the book's introduction captures well why investment is bound to be a perennial topic in economics: “Few economists or business analysts need be reminded of the importance of investment. First, investment contributes to future output; net investment to economic growth. Second, it contributes to current demand and current employment. Understandably, there is much sentiment for encouraging investment, or at least for removing discouraging influences, to permit these contributions to be optimal.”</w:t>
      </w:r>
    </w:p>
  </w:endnote>
  <w:endnote w:id="2">
    <w:p w:rsidR="00AE44E5" w:rsidRPr="002550DB" w:rsidRDefault="00AE44E5" w:rsidP="002F5479">
      <w:pPr>
        <w:pStyle w:val="Heading1"/>
        <w:shd w:val="clear" w:color="auto" w:fill="FFFFFF"/>
        <w:spacing w:before="0" w:after="75"/>
        <w:textAlignment w:val="baseline"/>
        <w:rPr>
          <w:rFonts w:asciiTheme="minorHAnsi" w:hAnsiTheme="minorHAnsi" w:cstheme="minorHAnsi"/>
          <w:b w:val="0"/>
          <w:bCs w:val="0"/>
          <w:color w:val="auto"/>
          <w:sz w:val="20"/>
          <w:szCs w:val="20"/>
        </w:rPr>
      </w:pPr>
      <w:bookmarkStart w:id="0" w:name="_GoBack"/>
      <w:bookmarkEnd w:id="0"/>
      <w:r w:rsidRPr="005F72A3">
        <w:rPr>
          <w:rFonts w:asciiTheme="minorHAnsi" w:hAnsiTheme="minorHAnsi" w:cstheme="minorHAnsi"/>
          <w:b w:val="0"/>
          <w:color w:val="auto"/>
          <w:sz w:val="16"/>
          <w:szCs w:val="16"/>
        </w:rPr>
        <w:endnoteRef/>
      </w:r>
      <w:r w:rsidRPr="005F72A3">
        <w:rPr>
          <w:rFonts w:asciiTheme="minorHAnsi" w:hAnsiTheme="minorHAnsi" w:cstheme="minorHAnsi"/>
          <w:b w:val="0"/>
          <w:color w:val="auto"/>
          <w:sz w:val="16"/>
          <w:szCs w:val="16"/>
        </w:rPr>
        <w:t xml:space="preserve"> </w:t>
      </w:r>
      <w:r w:rsidRPr="002550DB">
        <w:rPr>
          <w:rFonts w:asciiTheme="minorHAnsi" w:hAnsiTheme="minorHAnsi" w:cstheme="minorHAnsi"/>
          <w:b w:val="0"/>
          <w:color w:val="auto"/>
          <w:sz w:val="20"/>
          <w:szCs w:val="20"/>
        </w:rPr>
        <w:t xml:space="preserve">Why </w:t>
      </w:r>
      <w:proofErr w:type="gramStart"/>
      <w:r w:rsidRPr="002550DB">
        <w:rPr>
          <w:rFonts w:asciiTheme="minorHAnsi" w:hAnsiTheme="minorHAnsi" w:cstheme="minorHAnsi"/>
          <w:b w:val="0"/>
          <w:color w:val="auto"/>
          <w:sz w:val="20"/>
          <w:szCs w:val="20"/>
        </w:rPr>
        <w:t>Is</w:t>
      </w:r>
      <w:proofErr w:type="gramEnd"/>
      <w:r w:rsidRPr="002550DB">
        <w:rPr>
          <w:rFonts w:asciiTheme="minorHAnsi" w:hAnsiTheme="minorHAnsi" w:cstheme="minorHAnsi"/>
          <w:b w:val="0"/>
          <w:color w:val="auto"/>
          <w:sz w:val="20"/>
          <w:szCs w:val="20"/>
        </w:rPr>
        <w:t xml:space="preserve"> investment weak? </w:t>
      </w:r>
      <w:proofErr w:type="gramStart"/>
      <w:r w:rsidRPr="002550DB">
        <w:rPr>
          <w:rFonts w:asciiTheme="minorHAnsi" w:hAnsiTheme="minorHAnsi" w:cstheme="minorHAnsi"/>
          <w:b w:val="0"/>
          <w:color w:val="auto"/>
          <w:sz w:val="20"/>
          <w:szCs w:val="20"/>
        </w:rPr>
        <w:t>by</w:t>
      </w:r>
      <w:proofErr w:type="gramEnd"/>
      <w:r w:rsidRPr="002550DB">
        <w:rPr>
          <w:rFonts w:asciiTheme="minorHAnsi" w:hAnsiTheme="minorHAnsi" w:cstheme="minorHAnsi"/>
          <w:b w:val="0"/>
          <w:color w:val="auto"/>
          <w:sz w:val="20"/>
          <w:szCs w:val="20"/>
        </w:rPr>
        <w:t> </w:t>
      </w:r>
      <w:hyperlink r:id="rId1" w:history="1">
        <w:r w:rsidRPr="002550DB">
          <w:rPr>
            <w:rFonts w:asciiTheme="minorHAnsi" w:hAnsiTheme="minorHAnsi" w:cstheme="minorHAnsi"/>
            <w:b w:val="0"/>
            <w:color w:val="auto"/>
            <w:sz w:val="20"/>
            <w:szCs w:val="20"/>
          </w:rPr>
          <w:t>Ryan Niladri Banerjee</w:t>
        </w:r>
      </w:hyperlink>
      <w:r w:rsidRPr="002550DB">
        <w:rPr>
          <w:rFonts w:asciiTheme="minorHAnsi" w:hAnsiTheme="minorHAnsi" w:cstheme="minorHAnsi"/>
          <w:b w:val="0"/>
          <w:color w:val="auto"/>
          <w:sz w:val="20"/>
          <w:szCs w:val="20"/>
        </w:rPr>
        <w:t>, </w:t>
      </w:r>
      <w:hyperlink r:id="rId2" w:history="1">
        <w:r w:rsidRPr="002550DB">
          <w:rPr>
            <w:rFonts w:asciiTheme="minorHAnsi" w:hAnsiTheme="minorHAnsi" w:cstheme="minorHAnsi"/>
            <w:b w:val="0"/>
            <w:color w:val="auto"/>
            <w:sz w:val="20"/>
            <w:szCs w:val="20"/>
          </w:rPr>
          <w:t>Jonathan Kearns</w:t>
        </w:r>
      </w:hyperlink>
      <w:r w:rsidRPr="002550DB">
        <w:rPr>
          <w:rFonts w:asciiTheme="minorHAnsi" w:hAnsiTheme="minorHAnsi" w:cstheme="minorHAnsi"/>
          <w:b w:val="0"/>
          <w:color w:val="auto"/>
          <w:sz w:val="20"/>
          <w:szCs w:val="20"/>
        </w:rPr>
        <w:t> and </w:t>
      </w:r>
      <w:hyperlink r:id="rId3" w:history="1">
        <w:r w:rsidRPr="002550DB">
          <w:rPr>
            <w:rFonts w:asciiTheme="minorHAnsi" w:hAnsiTheme="minorHAnsi" w:cstheme="minorHAnsi"/>
            <w:b w:val="0"/>
            <w:color w:val="auto"/>
            <w:sz w:val="20"/>
            <w:szCs w:val="20"/>
          </w:rPr>
          <w:t>Marco Jacopo Lombardi</w:t>
        </w:r>
      </w:hyperlink>
      <w:r w:rsidRPr="002550DB">
        <w:rPr>
          <w:rFonts w:asciiTheme="minorHAnsi" w:hAnsiTheme="minorHAnsi" w:cstheme="minorHAnsi"/>
          <w:b w:val="0"/>
          <w:color w:val="auto"/>
          <w:sz w:val="20"/>
          <w:szCs w:val="20"/>
        </w:rPr>
        <w:t>, BIS 18 March 2015,</w:t>
      </w:r>
      <w:r w:rsidRPr="002550DB">
        <w:rPr>
          <w:rFonts w:asciiTheme="minorHAnsi" w:hAnsiTheme="minorHAnsi" w:cstheme="minorHAnsi"/>
          <w:b w:val="0"/>
          <w:bCs w:val="0"/>
          <w:color w:val="auto"/>
          <w:sz w:val="20"/>
          <w:szCs w:val="20"/>
        </w:rPr>
        <w:t xml:space="preserve"> </w:t>
      </w:r>
      <w:hyperlink r:id="rId4" w:history="1">
        <w:r w:rsidRPr="002550DB">
          <w:rPr>
            <w:rStyle w:val="Hyperlink"/>
            <w:rFonts w:asciiTheme="minorHAnsi" w:hAnsiTheme="minorHAnsi" w:cstheme="minorHAnsi"/>
            <w:b w:val="0"/>
            <w:bCs w:val="0"/>
            <w:sz w:val="20"/>
            <w:szCs w:val="20"/>
          </w:rPr>
          <w:t>http://www.bis.org/publ/qtrpdf/r_qt1503g.htm</w:t>
        </w:r>
      </w:hyperlink>
    </w:p>
  </w:endnote>
  <w:endnote w:id="3">
    <w:p w:rsidR="00AE44E5" w:rsidRPr="002550DB" w:rsidRDefault="00AE44E5" w:rsidP="00D67C4D">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w:t>
      </w:r>
      <w:r w:rsidRPr="002550DB">
        <w:rPr>
          <w:rFonts w:cstheme="minorHAnsi"/>
          <w:bCs/>
          <w:sz w:val="20"/>
          <w:szCs w:val="20"/>
        </w:rPr>
        <w:t xml:space="preserve">John Maynard Keynes, “Proposals for a Revenue Tariff,” </w:t>
      </w:r>
      <w:r w:rsidRPr="002550DB">
        <w:rPr>
          <w:rFonts w:cstheme="minorHAnsi"/>
          <w:bCs/>
          <w:iCs/>
          <w:sz w:val="20"/>
          <w:szCs w:val="20"/>
        </w:rPr>
        <w:t xml:space="preserve">The New Statesman and Nation </w:t>
      </w:r>
      <w:r w:rsidRPr="002550DB">
        <w:rPr>
          <w:rFonts w:cstheme="minorHAnsi"/>
          <w:bCs/>
          <w:sz w:val="20"/>
          <w:szCs w:val="20"/>
        </w:rPr>
        <w:t xml:space="preserve">(March 7, 1931), reprinted in </w:t>
      </w:r>
      <w:r w:rsidRPr="002550DB">
        <w:rPr>
          <w:rFonts w:cstheme="minorHAnsi"/>
          <w:bCs/>
          <w:iCs/>
          <w:sz w:val="20"/>
          <w:szCs w:val="20"/>
        </w:rPr>
        <w:t>Essays in Persuasion.</w:t>
      </w:r>
    </w:p>
  </w:endnote>
  <w:endnote w:id="4">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JM Keynes, </w:t>
      </w:r>
      <w:r w:rsidRPr="002550DB">
        <w:rPr>
          <w:rFonts w:cstheme="minorHAnsi"/>
          <w:i/>
        </w:rPr>
        <w:t xml:space="preserve">Collected Writings, </w:t>
      </w:r>
      <w:proofErr w:type="spellStart"/>
      <w:r w:rsidRPr="002550DB">
        <w:rPr>
          <w:rFonts w:cstheme="minorHAnsi"/>
          <w:i/>
        </w:rPr>
        <w:t>Vol</w:t>
      </w:r>
      <w:proofErr w:type="spellEnd"/>
      <w:r w:rsidRPr="002550DB">
        <w:rPr>
          <w:rFonts w:cstheme="minorHAnsi"/>
          <w:i/>
        </w:rPr>
        <w:t xml:space="preserve"> 13, p343</w:t>
      </w:r>
    </w:p>
  </w:endnote>
  <w:endnote w:id="5">
    <w:p w:rsidR="00AE44E5" w:rsidRPr="002550DB" w:rsidRDefault="00AE44E5" w:rsidP="00C75EEF">
      <w:pPr>
        <w:spacing w:after="120"/>
        <w:ind w:left="8" w:right="180"/>
        <w:rPr>
          <w:rFonts w:eastAsia="Arial" w:cstheme="minorHAnsi"/>
          <w:sz w:val="20"/>
          <w:szCs w:val="20"/>
          <w:lang w:val="en-US"/>
        </w:rPr>
      </w:pPr>
      <w:r w:rsidRPr="002550DB">
        <w:rPr>
          <w:rStyle w:val="EndnoteReference"/>
          <w:rFonts w:cstheme="minorHAnsi"/>
          <w:sz w:val="20"/>
          <w:szCs w:val="20"/>
        </w:rPr>
        <w:endnoteRef/>
      </w:r>
      <w:r w:rsidRPr="002550DB">
        <w:rPr>
          <w:rFonts w:cstheme="minorHAnsi"/>
          <w:sz w:val="20"/>
          <w:szCs w:val="20"/>
        </w:rPr>
        <w:t xml:space="preserve"> </w:t>
      </w:r>
      <w:proofErr w:type="spellStart"/>
      <w:proofErr w:type="gramStart"/>
      <w:r w:rsidRPr="002550DB">
        <w:rPr>
          <w:rFonts w:eastAsia="Arial" w:cstheme="minorHAnsi"/>
          <w:sz w:val="20"/>
          <w:szCs w:val="20"/>
          <w:lang w:val="en-US"/>
        </w:rPr>
        <w:t>Minsky</w:t>
      </w:r>
      <w:proofErr w:type="spellEnd"/>
      <w:r w:rsidRPr="002550DB">
        <w:rPr>
          <w:rFonts w:eastAsia="Arial" w:cstheme="minorHAnsi"/>
          <w:sz w:val="20"/>
          <w:szCs w:val="20"/>
          <w:lang w:val="en-US"/>
        </w:rPr>
        <w:t>, H. P. 1991.</w:t>
      </w:r>
      <w:proofErr w:type="gramEnd"/>
      <w:r w:rsidRPr="002550DB">
        <w:rPr>
          <w:rFonts w:eastAsia="Arial" w:cstheme="minorHAnsi"/>
          <w:sz w:val="20"/>
          <w:szCs w:val="20"/>
          <w:lang w:val="en-US"/>
        </w:rPr>
        <w:t xml:space="preserve"> The financial instability hypothesis: A clarification. </w:t>
      </w:r>
      <w:proofErr w:type="gramStart"/>
      <w:r w:rsidRPr="002550DB">
        <w:rPr>
          <w:rFonts w:eastAsia="Arial" w:cstheme="minorHAnsi"/>
          <w:sz w:val="20"/>
          <w:szCs w:val="20"/>
          <w:lang w:val="en-US"/>
        </w:rPr>
        <w:t xml:space="preserve">In </w:t>
      </w:r>
      <w:r w:rsidRPr="002550DB">
        <w:rPr>
          <w:rFonts w:eastAsia="Arial" w:cstheme="minorHAnsi"/>
          <w:i/>
          <w:sz w:val="20"/>
          <w:szCs w:val="20"/>
          <w:lang w:val="en-US"/>
        </w:rPr>
        <w:t>The risk of economic crisis</w:t>
      </w:r>
      <w:r w:rsidRPr="002550DB">
        <w:rPr>
          <w:rFonts w:eastAsia="Arial" w:cstheme="minorHAnsi"/>
          <w:sz w:val="20"/>
          <w:szCs w:val="20"/>
          <w:lang w:val="en-US"/>
        </w:rPr>
        <w:t>.</w:t>
      </w:r>
      <w:proofErr w:type="gramEnd"/>
      <w:r w:rsidRPr="002550DB">
        <w:rPr>
          <w:rFonts w:eastAsia="Arial" w:cstheme="minorHAnsi"/>
          <w:sz w:val="20"/>
          <w:szCs w:val="20"/>
          <w:lang w:val="en-US"/>
        </w:rPr>
        <w:t xml:space="preserve"> M. Feldstein, ed., Chicago: University of Chicago Press, pp. 158-166.</w:t>
      </w:r>
    </w:p>
  </w:endnote>
  <w:endnote w:id="6">
    <w:p w:rsidR="00AE44E5" w:rsidRPr="002550DB" w:rsidRDefault="00AE44E5" w:rsidP="00AA4849">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James </w:t>
      </w:r>
      <w:proofErr w:type="spellStart"/>
      <w:r w:rsidRPr="002550DB">
        <w:rPr>
          <w:rFonts w:cstheme="minorHAnsi"/>
          <w:sz w:val="20"/>
          <w:szCs w:val="20"/>
        </w:rPr>
        <w:t>Montier</w:t>
      </w:r>
      <w:proofErr w:type="spellEnd"/>
      <w:r w:rsidRPr="002550DB">
        <w:rPr>
          <w:rFonts w:cstheme="minorHAnsi"/>
          <w:sz w:val="20"/>
          <w:szCs w:val="20"/>
        </w:rPr>
        <w:t>,</w:t>
      </w:r>
      <w:r w:rsidRPr="002550DB">
        <w:rPr>
          <w:rStyle w:val="apple-converted-space"/>
          <w:rFonts w:cstheme="minorHAnsi"/>
          <w:color w:val="333333"/>
          <w:sz w:val="20"/>
          <w:szCs w:val="20"/>
        </w:rPr>
        <w:t> </w:t>
      </w:r>
      <w:r w:rsidRPr="002550DB">
        <w:rPr>
          <w:rStyle w:val="Emphasis"/>
          <w:rFonts w:cstheme="minorHAnsi"/>
          <w:color w:val="333333"/>
          <w:sz w:val="20"/>
          <w:szCs w:val="20"/>
        </w:rPr>
        <w:t>What goes up must come down!</w:t>
      </w:r>
      <w:r w:rsidRPr="002550DB">
        <w:rPr>
          <w:rFonts w:cstheme="minorHAnsi"/>
          <w:sz w:val="20"/>
          <w:szCs w:val="20"/>
        </w:rPr>
        <w:t>, March 2012 http://www.zerohedge.com/sites/default/files/images/user5/imageroot/2012/02/Montier%20-%20What%20goes%20up%20must%20come%20down.pdf</w:t>
      </w:r>
    </w:p>
  </w:endnote>
  <w:endnote w:id="7">
    <w:p w:rsidR="00AE44E5" w:rsidRPr="002550DB" w:rsidRDefault="00AE44E5" w:rsidP="007C274F">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w:t>
      </w:r>
      <w:proofErr w:type="gramStart"/>
      <w:r w:rsidRPr="002550DB">
        <w:rPr>
          <w:rFonts w:cstheme="minorHAnsi"/>
          <w:sz w:val="20"/>
          <w:szCs w:val="20"/>
        </w:rPr>
        <w:t>Where profits come from, 2008.</w:t>
      </w:r>
      <w:proofErr w:type="gramEnd"/>
    </w:p>
  </w:endnote>
  <w:endnote w:id="8">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w:t>
      </w:r>
      <w:r w:rsidRPr="002550DB">
        <w:rPr>
          <w:rFonts w:eastAsia="Arial" w:cstheme="minorHAnsi"/>
          <w:lang w:val="en-US"/>
        </w:rPr>
        <w:t xml:space="preserve">José A. Tapia, ‘Investment, profits, and crises — Theories and evidence’, chapter in World in Crisis, </w:t>
      </w:r>
      <w:proofErr w:type="spellStart"/>
      <w:proofErr w:type="gramStart"/>
      <w:r w:rsidRPr="002550DB">
        <w:rPr>
          <w:rFonts w:eastAsia="Arial" w:cstheme="minorHAnsi"/>
          <w:lang w:val="en-US"/>
        </w:rPr>
        <w:t>eds</w:t>
      </w:r>
      <w:proofErr w:type="spellEnd"/>
      <w:proofErr w:type="gramEnd"/>
      <w:r w:rsidRPr="002550DB">
        <w:rPr>
          <w:rFonts w:eastAsia="Arial" w:cstheme="minorHAnsi"/>
          <w:lang w:val="en-US"/>
        </w:rPr>
        <w:t xml:space="preserve"> G </w:t>
      </w:r>
      <w:proofErr w:type="spellStart"/>
      <w:r w:rsidRPr="002550DB">
        <w:rPr>
          <w:rFonts w:eastAsia="Arial" w:cstheme="minorHAnsi"/>
          <w:lang w:val="en-US"/>
        </w:rPr>
        <w:t>Carchedi</w:t>
      </w:r>
      <w:proofErr w:type="spellEnd"/>
      <w:r w:rsidRPr="002550DB">
        <w:rPr>
          <w:rFonts w:eastAsia="Arial" w:cstheme="minorHAnsi"/>
          <w:lang w:val="en-US"/>
        </w:rPr>
        <w:t xml:space="preserve"> and Michael Roberts, Zero Books, forthcoming 2017.</w:t>
      </w:r>
    </w:p>
  </w:endnote>
  <w:endnote w:id="9">
    <w:p w:rsidR="00AE44E5" w:rsidRPr="002550DB" w:rsidRDefault="00AE44E5" w:rsidP="00FB5047">
      <w:pPr>
        <w:pStyle w:val="EndnoteText"/>
        <w:rPr>
          <w:rFonts w:cstheme="minorHAnsi"/>
        </w:rPr>
      </w:pPr>
      <w:r w:rsidRPr="002550DB">
        <w:rPr>
          <w:rStyle w:val="EndnoteReference"/>
          <w:rFonts w:cstheme="minorHAnsi"/>
        </w:rPr>
        <w:endnoteRef/>
      </w:r>
      <w:r w:rsidRPr="002550DB">
        <w:rPr>
          <w:rFonts w:cstheme="minorHAnsi"/>
        </w:rPr>
        <w:t xml:space="preserve"> </w:t>
      </w:r>
      <w:proofErr w:type="spellStart"/>
      <w:r w:rsidRPr="002550DB">
        <w:rPr>
          <w:rFonts w:cstheme="minorHAnsi"/>
        </w:rPr>
        <w:t>Minsky</w:t>
      </w:r>
      <w:proofErr w:type="spellEnd"/>
      <w:r w:rsidRPr="002550DB">
        <w:rPr>
          <w:rFonts w:cstheme="minorHAnsi"/>
        </w:rPr>
        <w:t xml:space="preserve"> op </w:t>
      </w:r>
      <w:proofErr w:type="spellStart"/>
      <w:r w:rsidRPr="002550DB">
        <w:rPr>
          <w:rFonts w:cstheme="minorHAnsi"/>
        </w:rPr>
        <w:t>cit</w:t>
      </w:r>
      <w:proofErr w:type="spellEnd"/>
    </w:p>
  </w:endnote>
  <w:endnote w:id="10">
    <w:p w:rsidR="00AE44E5" w:rsidRPr="002550DB" w:rsidRDefault="00AE44E5" w:rsidP="00A44EDB">
      <w:pPr>
        <w:pStyle w:val="EndnoteText"/>
        <w:rPr>
          <w:rFonts w:cstheme="minorHAnsi"/>
        </w:rPr>
      </w:pPr>
      <w:r w:rsidRPr="002550DB">
        <w:rPr>
          <w:rStyle w:val="EndnoteReference"/>
          <w:rFonts w:cstheme="minorHAnsi"/>
        </w:rPr>
        <w:endnoteRef/>
      </w:r>
      <w:r w:rsidRPr="002550DB">
        <w:rPr>
          <w:rFonts w:cstheme="minorHAnsi"/>
        </w:rPr>
        <w:t xml:space="preserve"> JM Keynes, </w:t>
      </w:r>
      <w:proofErr w:type="gramStart"/>
      <w:r w:rsidRPr="002550DB">
        <w:rPr>
          <w:rFonts w:cstheme="minorHAnsi"/>
        </w:rPr>
        <w:t>The</w:t>
      </w:r>
      <w:proofErr w:type="gramEnd"/>
      <w:r w:rsidRPr="002550DB">
        <w:rPr>
          <w:rFonts w:cstheme="minorHAnsi"/>
        </w:rPr>
        <w:t xml:space="preserve"> General Theory, Chapter 22.</w:t>
      </w:r>
    </w:p>
  </w:endnote>
  <w:endnote w:id="11">
    <w:p w:rsidR="00AE44E5" w:rsidRPr="002550DB" w:rsidRDefault="00AE44E5" w:rsidP="00A44EDB">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w:t>
      </w:r>
      <w:proofErr w:type="gramStart"/>
      <w:r w:rsidRPr="002550DB">
        <w:rPr>
          <w:rFonts w:cstheme="minorHAnsi"/>
          <w:sz w:val="20"/>
          <w:szCs w:val="20"/>
        </w:rPr>
        <w:t xml:space="preserve">P </w:t>
      </w:r>
      <w:proofErr w:type="spellStart"/>
      <w:r w:rsidRPr="002550DB">
        <w:rPr>
          <w:rFonts w:cstheme="minorHAnsi"/>
          <w:sz w:val="20"/>
          <w:szCs w:val="20"/>
        </w:rPr>
        <w:t>Mattick</w:t>
      </w:r>
      <w:proofErr w:type="spellEnd"/>
      <w:r w:rsidRPr="002550DB">
        <w:rPr>
          <w:rFonts w:cstheme="minorHAnsi"/>
          <w:sz w:val="20"/>
          <w:szCs w:val="20"/>
        </w:rPr>
        <w:t>, Economic crisis and crisis theory, 1974.</w:t>
      </w:r>
      <w:proofErr w:type="gramEnd"/>
      <w:r w:rsidRPr="002550DB">
        <w:rPr>
          <w:rFonts w:cstheme="minorHAnsi"/>
          <w:sz w:val="20"/>
          <w:szCs w:val="20"/>
        </w:rPr>
        <w:t xml:space="preserve"> </w:t>
      </w:r>
      <w:hyperlink r:id="rId5" w:history="1">
        <w:r w:rsidRPr="002550DB">
          <w:rPr>
            <w:rStyle w:val="Hyperlink"/>
            <w:rFonts w:cstheme="minorHAnsi"/>
            <w:color w:val="auto"/>
            <w:sz w:val="20"/>
            <w:szCs w:val="20"/>
            <w:u w:val="none"/>
          </w:rPr>
          <w:t>https://www.marxists.org/archive/mattick-paul/1974/crisis/ch01.htm</w:t>
        </w:r>
      </w:hyperlink>
    </w:p>
  </w:endnote>
  <w:endnote w:id="12">
    <w:p w:rsidR="00AE44E5" w:rsidRPr="002550DB" w:rsidRDefault="00AE44E5" w:rsidP="00922176">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Anwar </w:t>
      </w:r>
      <w:proofErr w:type="spellStart"/>
      <w:r w:rsidRPr="002550DB">
        <w:rPr>
          <w:rFonts w:cstheme="minorHAnsi"/>
          <w:sz w:val="20"/>
          <w:szCs w:val="20"/>
        </w:rPr>
        <w:t>Shaikh</w:t>
      </w:r>
      <w:proofErr w:type="spellEnd"/>
      <w:r w:rsidRPr="002550DB">
        <w:rPr>
          <w:rFonts w:cstheme="minorHAnsi"/>
          <w:sz w:val="20"/>
          <w:szCs w:val="20"/>
        </w:rPr>
        <w:t xml:space="preserve">, </w:t>
      </w:r>
      <w:r w:rsidRPr="002550DB">
        <w:rPr>
          <w:rStyle w:val="a-size-large"/>
          <w:rFonts w:cstheme="minorHAnsi"/>
          <w:sz w:val="20"/>
          <w:szCs w:val="20"/>
        </w:rPr>
        <w:t>Capitalism: Competition, Conflict, Crises</w:t>
      </w:r>
      <w:r w:rsidR="00922176" w:rsidRPr="002550DB">
        <w:rPr>
          <w:rStyle w:val="a-size-large"/>
          <w:rFonts w:cstheme="minorHAnsi"/>
          <w:sz w:val="20"/>
          <w:szCs w:val="20"/>
        </w:rPr>
        <w:t>, Oxford University Press, 2016</w:t>
      </w:r>
      <w:r w:rsidRPr="002550DB">
        <w:rPr>
          <w:rStyle w:val="apple-converted-space"/>
          <w:rFonts w:cstheme="minorHAnsi"/>
          <w:sz w:val="20"/>
          <w:szCs w:val="20"/>
        </w:rPr>
        <w:t xml:space="preserve">, </w:t>
      </w:r>
      <w:r w:rsidR="00922176" w:rsidRPr="002550DB">
        <w:rPr>
          <w:rStyle w:val="apple-converted-space"/>
          <w:rFonts w:cstheme="minorHAnsi"/>
          <w:sz w:val="20"/>
          <w:szCs w:val="20"/>
        </w:rPr>
        <w:t xml:space="preserve">for the data, </w:t>
      </w:r>
      <w:r w:rsidRPr="002550DB">
        <w:rPr>
          <w:rStyle w:val="apple-converted-space"/>
          <w:rFonts w:cstheme="minorHAnsi"/>
          <w:sz w:val="20"/>
          <w:szCs w:val="20"/>
        </w:rPr>
        <w:t>see http://realecon.org/data/</w:t>
      </w:r>
    </w:p>
  </w:endnote>
  <w:endnote w:id="13">
    <w:p w:rsidR="00AE44E5" w:rsidRPr="002550DB" w:rsidRDefault="00AE44E5" w:rsidP="00920467">
      <w:pPr>
        <w:pStyle w:val="Default"/>
        <w:rPr>
          <w:rFonts w:asciiTheme="minorHAnsi" w:hAnsiTheme="minorHAnsi" w:cstheme="minorHAnsi"/>
          <w:iCs/>
          <w:sz w:val="20"/>
          <w:szCs w:val="20"/>
        </w:rPr>
      </w:pPr>
      <w:r w:rsidRPr="002550DB">
        <w:rPr>
          <w:rStyle w:val="EndnoteReference"/>
          <w:rFonts w:asciiTheme="minorHAnsi" w:hAnsiTheme="minorHAnsi" w:cstheme="minorHAnsi"/>
          <w:sz w:val="20"/>
          <w:szCs w:val="20"/>
        </w:rPr>
        <w:endnoteRef/>
      </w:r>
      <w:r w:rsidRPr="002550DB">
        <w:rPr>
          <w:rFonts w:asciiTheme="minorHAnsi" w:hAnsiTheme="minorHAnsi" w:cstheme="minorHAnsi"/>
          <w:sz w:val="20"/>
          <w:szCs w:val="20"/>
        </w:rPr>
        <w:t xml:space="preserve"> M Roberts, </w:t>
      </w:r>
      <w:r w:rsidRPr="002550DB">
        <w:rPr>
          <w:rFonts w:asciiTheme="minorHAnsi" w:hAnsiTheme="minorHAnsi" w:cstheme="minorHAnsi"/>
          <w:bCs/>
          <w:sz w:val="20"/>
          <w:szCs w:val="20"/>
        </w:rPr>
        <w:t>Revisiting a world rate of profit</w:t>
      </w:r>
      <w:r w:rsidRPr="002550DB">
        <w:rPr>
          <w:rFonts w:asciiTheme="minorHAnsi" w:hAnsiTheme="minorHAnsi" w:cstheme="minorHAnsi"/>
          <w:b/>
          <w:bCs/>
          <w:sz w:val="20"/>
          <w:szCs w:val="20"/>
        </w:rPr>
        <w:t xml:space="preserve">, </w:t>
      </w:r>
      <w:r w:rsidRPr="002550DB">
        <w:rPr>
          <w:rFonts w:asciiTheme="minorHAnsi" w:hAnsiTheme="minorHAnsi" w:cstheme="minorHAnsi"/>
          <w:i/>
          <w:iCs/>
          <w:sz w:val="20"/>
          <w:szCs w:val="20"/>
        </w:rPr>
        <w:t xml:space="preserve">Paper for the 2015 Conference of the Association of Heterodox Economists, Southampton Solent University July 2015.  </w:t>
      </w:r>
      <w:r w:rsidRPr="002550DB">
        <w:rPr>
          <w:rFonts w:asciiTheme="minorHAnsi" w:hAnsiTheme="minorHAnsi" w:cstheme="minorHAnsi"/>
          <w:iCs/>
          <w:sz w:val="20"/>
          <w:szCs w:val="20"/>
        </w:rPr>
        <w:t>See this paper, appendix for sources and methods</w:t>
      </w:r>
    </w:p>
  </w:endnote>
  <w:endnote w:id="14">
    <w:p w:rsidR="00AE44E5" w:rsidRPr="002550DB" w:rsidRDefault="00AE44E5" w:rsidP="00FB2950">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w:t>
      </w:r>
      <w:proofErr w:type="spellStart"/>
      <w:r w:rsidRPr="002550DB">
        <w:rPr>
          <w:rFonts w:cstheme="minorHAnsi"/>
          <w:sz w:val="20"/>
          <w:szCs w:val="20"/>
        </w:rPr>
        <w:t>Kliman</w:t>
      </w:r>
      <w:proofErr w:type="spellEnd"/>
      <w:r w:rsidRPr="002550DB">
        <w:rPr>
          <w:rFonts w:cstheme="minorHAnsi"/>
          <w:sz w:val="20"/>
          <w:szCs w:val="20"/>
        </w:rPr>
        <w:t>, A., Williams S.D. (2014). “</w:t>
      </w:r>
      <w:r w:rsidRPr="002550DB">
        <w:rPr>
          <w:rFonts w:cstheme="minorHAnsi"/>
          <w:i/>
          <w:iCs/>
          <w:sz w:val="20"/>
          <w:szCs w:val="20"/>
        </w:rPr>
        <w:t>Why ‘</w:t>
      </w:r>
      <w:proofErr w:type="spellStart"/>
      <w:r w:rsidRPr="002550DB">
        <w:rPr>
          <w:rFonts w:cstheme="minorHAnsi"/>
          <w:i/>
          <w:iCs/>
          <w:sz w:val="20"/>
          <w:szCs w:val="20"/>
        </w:rPr>
        <w:t>financialisation</w:t>
      </w:r>
      <w:proofErr w:type="spellEnd"/>
      <w:r w:rsidRPr="002550DB">
        <w:rPr>
          <w:rFonts w:cstheme="minorHAnsi"/>
          <w:i/>
          <w:iCs/>
          <w:sz w:val="20"/>
          <w:szCs w:val="20"/>
        </w:rPr>
        <w:t>’ hasn’t depressed US productive investment</w:t>
      </w:r>
      <w:r w:rsidRPr="002550DB">
        <w:rPr>
          <w:rFonts w:cstheme="minorHAnsi"/>
          <w:sz w:val="20"/>
          <w:szCs w:val="20"/>
        </w:rPr>
        <w:t>”. Cambridge Journal of Economics, beu033.</w:t>
      </w:r>
      <w:hyperlink r:id="rId6" w:history="1">
        <w:r w:rsidRPr="002550DB">
          <w:rPr>
            <w:rStyle w:val="Hyperlink"/>
            <w:rFonts w:cstheme="minorHAnsi"/>
            <w:sz w:val="20"/>
            <w:szCs w:val="20"/>
          </w:rPr>
          <w:t>http://eprints.lse.ac.uk/60305/1/__lse.ac.uk_storage_LIBRARY_SECOND~1_libfile_shared_REPOSI~1_Content_LSEUSA~1_LSEUSA~2_blogs.lse.ac.uk-Falling_profits_rather_than_increasing_financial_investment_led_to_decreasing_rates_of_capital_accumu.pdf</w:t>
        </w:r>
      </w:hyperlink>
    </w:p>
  </w:endnote>
  <w:endnote w:id="15">
    <w:p w:rsidR="008B65A0" w:rsidRPr="002550DB" w:rsidRDefault="008B65A0" w:rsidP="008B65A0">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Jones, P. (Forthcoming) ‘The Falling Rate of Profit and the Great Recession’</w:t>
      </w:r>
    </w:p>
  </w:endnote>
  <w:endnote w:id="16">
    <w:p w:rsidR="00AE44E5" w:rsidRPr="002550DB" w:rsidRDefault="00AE44E5" w:rsidP="00920467">
      <w:pPr>
        <w:pStyle w:val="NormalWeb"/>
        <w:jc w:val="both"/>
        <w:rPr>
          <w:rFonts w:asciiTheme="minorHAnsi" w:hAnsiTheme="minorHAnsi" w:cstheme="minorHAnsi"/>
          <w:color w:val="333333"/>
          <w:sz w:val="20"/>
          <w:szCs w:val="20"/>
        </w:rPr>
      </w:pPr>
      <w:r w:rsidRPr="002550DB">
        <w:rPr>
          <w:rStyle w:val="EndnoteReference"/>
          <w:rFonts w:asciiTheme="minorHAnsi" w:hAnsiTheme="minorHAnsi" w:cstheme="minorHAnsi"/>
          <w:sz w:val="20"/>
          <w:szCs w:val="20"/>
        </w:rPr>
        <w:endnoteRef/>
      </w:r>
      <w:r w:rsidRPr="002550DB">
        <w:rPr>
          <w:rFonts w:asciiTheme="minorHAnsi" w:hAnsiTheme="minorHAnsi" w:cstheme="minorHAnsi"/>
          <w:sz w:val="20"/>
          <w:szCs w:val="20"/>
        </w:rPr>
        <w:t xml:space="preserve"> The </w:t>
      </w:r>
      <w:proofErr w:type="spellStart"/>
      <w:r w:rsidRPr="002550DB">
        <w:rPr>
          <w:rFonts w:asciiTheme="minorHAnsi" w:hAnsiTheme="minorHAnsi" w:cstheme="minorHAnsi"/>
          <w:sz w:val="20"/>
          <w:szCs w:val="20"/>
        </w:rPr>
        <w:t>behavior</w:t>
      </w:r>
      <w:proofErr w:type="spellEnd"/>
      <w:r w:rsidRPr="002550DB">
        <w:rPr>
          <w:rFonts w:asciiTheme="minorHAnsi" w:hAnsiTheme="minorHAnsi" w:cstheme="minorHAnsi"/>
          <w:sz w:val="20"/>
          <w:szCs w:val="20"/>
        </w:rPr>
        <w:t xml:space="preserve"> of aggregate corporate investment, August 2015,  </w:t>
      </w:r>
      <w:proofErr w:type="spellStart"/>
      <w:r w:rsidR="00281DD7">
        <w:fldChar w:fldCharType="begin"/>
      </w:r>
      <w:r w:rsidR="00281DD7">
        <w:instrText xml:space="preserve"> HYPERLINK "https://thenextrecession.files.wordpress.com/2015/11/aggregateinvestment2.pdf" </w:instrText>
      </w:r>
      <w:r w:rsidR="00281DD7">
        <w:fldChar w:fldCharType="separate"/>
      </w:r>
      <w:r w:rsidRPr="002550DB">
        <w:rPr>
          <w:rStyle w:val="Hyperlink"/>
          <w:rFonts w:asciiTheme="minorHAnsi" w:hAnsiTheme="minorHAnsi" w:cstheme="minorHAnsi"/>
          <w:color w:val="B85B5A"/>
          <w:sz w:val="20"/>
          <w:szCs w:val="20"/>
        </w:rPr>
        <w:t>AggregateInvestment</w:t>
      </w:r>
      <w:proofErr w:type="spellEnd"/>
      <w:r w:rsidR="00281DD7">
        <w:rPr>
          <w:rStyle w:val="Hyperlink"/>
          <w:rFonts w:asciiTheme="minorHAnsi" w:hAnsiTheme="minorHAnsi" w:cstheme="minorHAnsi"/>
          <w:color w:val="B85B5A"/>
          <w:sz w:val="20"/>
          <w:szCs w:val="20"/>
        </w:rPr>
        <w:fldChar w:fldCharType="end"/>
      </w:r>
    </w:p>
  </w:endnote>
  <w:endnote w:id="17">
    <w:p w:rsidR="00AE44E5" w:rsidRPr="002550DB" w:rsidRDefault="00AE44E5" w:rsidP="00920467">
      <w:pPr>
        <w:pStyle w:val="NormalWeb"/>
        <w:spacing w:before="0" w:beforeAutospacing="0" w:after="0" w:afterAutospacing="0"/>
        <w:rPr>
          <w:rFonts w:asciiTheme="minorHAnsi" w:hAnsiTheme="minorHAnsi" w:cstheme="minorHAnsi"/>
          <w:b/>
          <w:bCs/>
          <w:caps/>
          <w:sz w:val="20"/>
          <w:szCs w:val="20"/>
        </w:rPr>
      </w:pPr>
      <w:r w:rsidRPr="002550DB">
        <w:rPr>
          <w:rStyle w:val="EndnoteReference"/>
          <w:rFonts w:asciiTheme="minorHAnsi" w:hAnsiTheme="minorHAnsi" w:cstheme="minorHAnsi"/>
          <w:sz w:val="20"/>
          <w:szCs w:val="20"/>
        </w:rPr>
        <w:endnoteRef/>
      </w:r>
      <w:r w:rsidRPr="002550DB">
        <w:rPr>
          <w:rFonts w:asciiTheme="minorHAnsi" w:hAnsiTheme="minorHAnsi" w:cstheme="minorHAnsi"/>
          <w:sz w:val="20"/>
          <w:szCs w:val="20"/>
        </w:rPr>
        <w:t xml:space="preserve"> G </w:t>
      </w:r>
      <w:proofErr w:type="spellStart"/>
      <w:r w:rsidRPr="002550DB">
        <w:rPr>
          <w:rFonts w:asciiTheme="minorHAnsi" w:hAnsiTheme="minorHAnsi" w:cstheme="minorHAnsi"/>
          <w:sz w:val="20"/>
          <w:szCs w:val="20"/>
        </w:rPr>
        <w:t>Carchedi</w:t>
      </w:r>
      <w:proofErr w:type="spellEnd"/>
      <w:r w:rsidRPr="002550DB">
        <w:rPr>
          <w:rFonts w:asciiTheme="minorHAnsi" w:hAnsiTheme="minorHAnsi" w:cstheme="minorHAnsi"/>
          <w:sz w:val="20"/>
          <w:szCs w:val="20"/>
        </w:rPr>
        <w:t xml:space="preserve">, M Roberts </w:t>
      </w:r>
      <w:r w:rsidRPr="002550DB">
        <w:rPr>
          <w:rStyle w:val="Strong"/>
          <w:rFonts w:asciiTheme="minorHAnsi" w:hAnsiTheme="minorHAnsi" w:cstheme="minorHAnsi"/>
          <w:b w:val="0"/>
          <w:sz w:val="20"/>
          <w:szCs w:val="20"/>
        </w:rPr>
        <w:t xml:space="preserve">The Long Roots Of The Present Crisis: Keynesians, </w:t>
      </w:r>
      <w:proofErr w:type="spellStart"/>
      <w:r w:rsidRPr="002550DB">
        <w:rPr>
          <w:rStyle w:val="Strong"/>
          <w:rFonts w:asciiTheme="minorHAnsi" w:hAnsiTheme="minorHAnsi" w:cstheme="minorHAnsi"/>
          <w:b w:val="0"/>
          <w:sz w:val="20"/>
          <w:szCs w:val="20"/>
        </w:rPr>
        <w:t>Austerians</w:t>
      </w:r>
      <w:proofErr w:type="spellEnd"/>
      <w:r w:rsidRPr="002550DB">
        <w:rPr>
          <w:rStyle w:val="Strong"/>
          <w:rFonts w:asciiTheme="minorHAnsi" w:hAnsiTheme="minorHAnsi" w:cstheme="minorHAnsi"/>
          <w:b w:val="0"/>
          <w:sz w:val="20"/>
          <w:szCs w:val="20"/>
        </w:rPr>
        <w:t>, And Marx’s Law, Chapter One, In World In Crisis, (</w:t>
      </w:r>
      <w:r w:rsidR="00C836D1">
        <w:rPr>
          <w:rStyle w:val="Strong"/>
          <w:rFonts w:asciiTheme="minorHAnsi" w:hAnsiTheme="minorHAnsi" w:cstheme="minorHAnsi"/>
          <w:b w:val="0"/>
          <w:sz w:val="20"/>
          <w:szCs w:val="20"/>
        </w:rPr>
        <w:t>Forthcoming Haymarket Books, 2018</w:t>
      </w:r>
      <w:r w:rsidRPr="002550DB">
        <w:rPr>
          <w:rStyle w:val="Strong"/>
          <w:rFonts w:asciiTheme="minorHAnsi" w:hAnsiTheme="minorHAnsi" w:cstheme="minorHAnsi"/>
          <w:b w:val="0"/>
          <w:caps/>
          <w:sz w:val="20"/>
          <w:szCs w:val="20"/>
        </w:rPr>
        <w:t>)</w:t>
      </w:r>
    </w:p>
  </w:endnote>
  <w:endnote w:id="18">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JP Morgan, Profit stall threatens global expansion, Special Report, 21 June 2016</w:t>
      </w:r>
    </w:p>
  </w:endnote>
  <w:endnote w:id="19">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Credit sight https://www.creditsights.com/research/noaccess</w:t>
      </w:r>
    </w:p>
  </w:endnote>
  <w:endnote w:id="20">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M Klein https://ftalphaville.ft.com/2015/11/20/2145454/maybe-the-euro-areas-bad-banks-didnt-matter/</w:t>
      </w:r>
    </w:p>
  </w:endnote>
  <w:endnote w:id="21">
    <w:p w:rsidR="00AE44E5" w:rsidRPr="002550DB" w:rsidRDefault="00AE44E5" w:rsidP="00422B7A">
      <w:pPr>
        <w:pStyle w:val="EndnoteText"/>
        <w:rPr>
          <w:rFonts w:cstheme="minorHAnsi"/>
        </w:rPr>
      </w:pPr>
      <w:r w:rsidRPr="002550DB">
        <w:rPr>
          <w:rStyle w:val="EndnoteReference"/>
          <w:rFonts w:cstheme="minorHAnsi"/>
        </w:rPr>
        <w:endnoteRef/>
      </w:r>
      <w:r w:rsidRPr="002550DB">
        <w:rPr>
          <w:rFonts w:cstheme="minorHAnsi"/>
        </w:rPr>
        <w:t xml:space="preserve"> </w:t>
      </w:r>
      <w:hyperlink r:id="rId7" w:history="1">
        <w:r w:rsidRPr="002550DB">
          <w:rPr>
            <w:rStyle w:val="Hyperlink"/>
            <w:rFonts w:cstheme="minorHAnsi"/>
            <w:color w:val="B85B5A"/>
          </w:rPr>
          <w:t>BIS</w:t>
        </w:r>
      </w:hyperlink>
      <w:r w:rsidRPr="002550DB">
        <w:rPr>
          <w:rFonts w:cstheme="minorHAnsi"/>
        </w:rPr>
        <w:t xml:space="preserve"> op </w:t>
      </w:r>
      <w:proofErr w:type="spellStart"/>
      <w:r w:rsidRPr="002550DB">
        <w:rPr>
          <w:rFonts w:cstheme="minorHAnsi"/>
        </w:rPr>
        <w:t>cit</w:t>
      </w:r>
      <w:proofErr w:type="spellEnd"/>
    </w:p>
  </w:endnote>
  <w:endnote w:id="22">
    <w:p w:rsidR="00AE44E5" w:rsidRPr="002550DB" w:rsidRDefault="00AE44E5">
      <w:pPr>
        <w:pStyle w:val="EndnoteText"/>
        <w:rPr>
          <w:rFonts w:cstheme="minorHAnsi"/>
        </w:rPr>
      </w:pPr>
      <w:r w:rsidRPr="002550DB">
        <w:rPr>
          <w:rStyle w:val="EndnoteReference"/>
          <w:rFonts w:cstheme="minorHAnsi"/>
        </w:rPr>
        <w:endnoteRef/>
      </w:r>
      <w:r w:rsidRPr="002550DB">
        <w:rPr>
          <w:rStyle w:val="apple-converted-space"/>
          <w:rFonts w:cstheme="minorHAnsi"/>
          <w:color w:val="333333"/>
        </w:rPr>
        <w:t xml:space="preserve"> </w:t>
      </w:r>
      <w:hyperlink r:id="rId8" w:history="1">
        <w:proofErr w:type="spellStart"/>
        <w:r w:rsidRPr="002550DB">
          <w:rPr>
            <w:rStyle w:val="Hyperlink"/>
            <w:rFonts w:cstheme="minorHAnsi"/>
            <w:color w:val="B85B5A"/>
          </w:rPr>
          <w:t>ec</w:t>
        </w:r>
        <w:proofErr w:type="spellEnd"/>
        <w:r w:rsidRPr="002550DB">
          <w:rPr>
            <w:rStyle w:val="Hyperlink"/>
            <w:rFonts w:cstheme="minorHAnsi"/>
            <w:color w:val="B85B5A"/>
          </w:rPr>
          <w:t xml:space="preserve"> 201609 recession </w:t>
        </w:r>
        <w:proofErr w:type="spellStart"/>
        <w:r w:rsidRPr="002550DB">
          <w:rPr>
            <w:rStyle w:val="Hyperlink"/>
            <w:rFonts w:cstheme="minorHAnsi"/>
            <w:color w:val="B85B5A"/>
          </w:rPr>
          <w:t>probablilities</w:t>
        </w:r>
        <w:proofErr w:type="spellEnd"/>
      </w:hyperlink>
    </w:p>
  </w:endnote>
  <w:endnote w:id="23">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w:t>
      </w:r>
      <w:r w:rsidRPr="002550DB">
        <w:rPr>
          <w:rFonts w:cstheme="minorHAnsi"/>
          <w:color w:val="333333"/>
        </w:rPr>
        <w:t>http://www.zerohedge.com/news/2016-06-04/when-will-recession-start-deutsche-banks-disturbing-answer</w:t>
      </w:r>
    </w:p>
  </w:endnote>
  <w:endnote w:id="24">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Data come from the Federal Reserve’s seasonally-adjusted Flow of Funds accounts. Shaded regions indicate NBER recessions</w:t>
      </w:r>
    </w:p>
  </w:endnote>
  <w:endnote w:id="25">
    <w:p w:rsidR="00AE44E5" w:rsidRPr="002550DB" w:rsidRDefault="00AE44E5" w:rsidP="002C7367">
      <w:pPr>
        <w:pStyle w:val="EndnoteText"/>
        <w:rPr>
          <w:rFonts w:cstheme="minorHAnsi"/>
        </w:rPr>
      </w:pPr>
      <w:r w:rsidRPr="002550DB">
        <w:rPr>
          <w:rStyle w:val="EndnoteReference"/>
          <w:rFonts w:cstheme="minorHAnsi"/>
        </w:rPr>
        <w:endnoteRef/>
      </w:r>
      <w:r w:rsidRPr="002550DB">
        <w:rPr>
          <w:rFonts w:cstheme="minorHAnsi"/>
        </w:rPr>
        <w:t xml:space="preserve"> </w:t>
      </w:r>
      <w:proofErr w:type="spellStart"/>
      <w:r w:rsidRPr="002550DB">
        <w:rPr>
          <w:rFonts w:cstheme="minorHAnsi"/>
        </w:rPr>
        <w:t>Carchedi</w:t>
      </w:r>
      <w:proofErr w:type="spellEnd"/>
      <w:r w:rsidRPr="002550DB">
        <w:rPr>
          <w:rFonts w:cstheme="minorHAnsi"/>
        </w:rPr>
        <w:t xml:space="preserve"> and Roberts, The Long Roots of the present crisis, forthcoming in World in Crisis, </w:t>
      </w:r>
      <w:r w:rsidR="00C836D1">
        <w:rPr>
          <w:rFonts w:cstheme="minorHAnsi"/>
        </w:rPr>
        <w:t>Haymarket books, 2018</w:t>
      </w:r>
      <w:r w:rsidRPr="002550DB">
        <w:rPr>
          <w:rFonts w:cstheme="minorHAnsi"/>
        </w:rPr>
        <w:t xml:space="preserve">) </w:t>
      </w:r>
      <w:hyperlink r:id="rId9" w:history="1">
        <w:r w:rsidRPr="002550DB">
          <w:rPr>
            <w:rStyle w:val="Hyperlink"/>
            <w:rFonts w:cstheme="minorHAnsi"/>
            <w:color w:val="B85B5A"/>
          </w:rPr>
          <w:t>http://gesd.free.fr/robcarch13.pdf</w:t>
        </w:r>
      </w:hyperlink>
    </w:p>
  </w:endnote>
  <w:endnote w:id="26">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This regression analysis used annual data on GDP, profits and investment for the US from 1961 to 2014.  This analysis and results can be found here.  https://thenextrecession.files.wordpress.com/2017/04/profits-investment-gdp-us-1960-2014.xlsx</w:t>
      </w:r>
    </w:p>
  </w:endnote>
  <w:endnote w:id="27">
    <w:p w:rsidR="000B478A" w:rsidRDefault="000B478A" w:rsidP="000B478A">
      <w:pPr>
        <w:pStyle w:val="NormalWeb"/>
        <w:jc w:val="both"/>
      </w:pPr>
      <w:r w:rsidRPr="000B478A">
        <w:rPr>
          <w:rStyle w:val="EndnoteReference"/>
          <w:rFonts w:asciiTheme="minorHAnsi" w:hAnsiTheme="minorHAnsi" w:cstheme="minorHAnsi"/>
          <w:sz w:val="20"/>
          <w:szCs w:val="20"/>
        </w:rPr>
        <w:endnoteRef/>
      </w:r>
      <w:r w:rsidRPr="000B478A">
        <w:rPr>
          <w:rFonts w:asciiTheme="minorHAnsi" w:hAnsiTheme="minorHAnsi" w:cstheme="minorHAnsi"/>
          <w:sz w:val="20"/>
          <w:szCs w:val="20"/>
        </w:rPr>
        <w:t xml:space="preserve"> </w:t>
      </w:r>
      <w:hyperlink r:id="rId10" w:history="1">
        <w:proofErr w:type="spellStart"/>
        <w:r w:rsidRPr="000B478A">
          <w:rPr>
            <w:rFonts w:asciiTheme="minorHAnsi" w:hAnsiTheme="minorHAnsi" w:cstheme="minorHAnsi"/>
            <w:sz w:val="20"/>
            <w:szCs w:val="20"/>
          </w:rPr>
          <w:t>RegimesOfRealizationUsingMarxAndK_preview</w:t>
        </w:r>
        <w:proofErr w:type="spellEnd"/>
      </w:hyperlink>
      <w:r>
        <w:rPr>
          <w:rFonts w:asciiTheme="minorHAnsi" w:hAnsiTheme="minorHAnsi" w:cstheme="minorHAnsi"/>
          <w:sz w:val="20"/>
          <w:szCs w:val="20"/>
        </w:rPr>
        <w:t>, ASSA Conference January 2018.</w:t>
      </w:r>
    </w:p>
  </w:endnote>
  <w:endnote w:id="28">
    <w:p w:rsidR="00AE44E5" w:rsidRPr="002550DB" w:rsidRDefault="00AE44E5">
      <w:pPr>
        <w:pStyle w:val="EndnoteText"/>
        <w:rPr>
          <w:rFonts w:cstheme="minorHAnsi"/>
        </w:rPr>
      </w:pPr>
      <w:r w:rsidRPr="002550DB">
        <w:rPr>
          <w:rStyle w:val="EndnoteReference"/>
          <w:rFonts w:cstheme="minorHAnsi"/>
        </w:rPr>
        <w:endnoteRef/>
      </w:r>
      <w:r w:rsidRPr="002550DB">
        <w:rPr>
          <w:rFonts w:cstheme="minorHAnsi"/>
        </w:rPr>
        <w:t xml:space="preserve"> </w:t>
      </w:r>
      <w:proofErr w:type="spellStart"/>
      <w:proofErr w:type="gramStart"/>
      <w:r w:rsidRPr="002550DB">
        <w:rPr>
          <w:rFonts w:cstheme="minorHAnsi"/>
        </w:rPr>
        <w:t>Carchedi</w:t>
      </w:r>
      <w:proofErr w:type="spellEnd"/>
      <w:r w:rsidRPr="002550DB">
        <w:rPr>
          <w:rFonts w:cstheme="minorHAnsi"/>
        </w:rPr>
        <w:t xml:space="preserve"> ,</w:t>
      </w:r>
      <w:proofErr w:type="gramEnd"/>
      <w:r w:rsidR="00C836D1" w:rsidRPr="00C836D1">
        <w:rPr>
          <w:rFonts w:ascii="Times New Roman" w:hAnsi="Times New Roman" w:cs="Times New Roman"/>
          <w:b/>
          <w:sz w:val="28"/>
          <w:szCs w:val="28"/>
        </w:rPr>
        <w:t xml:space="preserve"> </w:t>
      </w:r>
      <w:r w:rsidR="00C836D1" w:rsidRPr="00C836D1">
        <w:t xml:space="preserve">The old is dying but the new cannot be born: </w:t>
      </w:r>
      <w:r w:rsidR="00C836D1">
        <w:t xml:space="preserve"> </w:t>
      </w:r>
      <w:r w:rsidR="00C836D1" w:rsidRPr="00C836D1">
        <w:t>on the exhaustion of Western capitalism</w:t>
      </w:r>
      <w:r w:rsidRPr="00C836D1">
        <w:t>,</w:t>
      </w:r>
      <w:r w:rsidRPr="002550DB">
        <w:rPr>
          <w:rFonts w:cstheme="minorHAnsi"/>
        </w:rPr>
        <w:t xml:space="preserve"> in World in Crisis, op cit.</w:t>
      </w:r>
    </w:p>
  </w:endnote>
  <w:endnote w:id="29">
    <w:p w:rsidR="00AE44E5" w:rsidRPr="002550DB" w:rsidRDefault="00AE44E5" w:rsidP="00A04D5E">
      <w:pPr>
        <w:pStyle w:val="EndnoteText"/>
        <w:rPr>
          <w:rFonts w:cstheme="minorHAnsi"/>
        </w:rPr>
      </w:pPr>
      <w:r w:rsidRPr="002550DB">
        <w:rPr>
          <w:rStyle w:val="EndnoteReference"/>
          <w:rFonts w:cstheme="minorHAnsi"/>
        </w:rPr>
        <w:endnoteRef/>
      </w:r>
      <w:r w:rsidRPr="002550DB">
        <w:rPr>
          <w:rFonts w:cstheme="minorHAnsi"/>
        </w:rPr>
        <w:t xml:space="preserve"> </w:t>
      </w:r>
      <w:proofErr w:type="spellStart"/>
      <w:r w:rsidRPr="002550DB">
        <w:rPr>
          <w:rFonts w:cstheme="minorHAnsi"/>
        </w:rPr>
        <w:t>Kalecki</w:t>
      </w:r>
      <w:proofErr w:type="spellEnd"/>
      <w:r w:rsidRPr="002550DB">
        <w:rPr>
          <w:rFonts w:cstheme="minorHAnsi"/>
        </w:rPr>
        <w:t>, http://delong.typepad.com/kalecki43.pdf</w:t>
      </w:r>
    </w:p>
  </w:endnote>
  <w:endnote w:id="30">
    <w:p w:rsidR="00AE44E5" w:rsidRPr="002550DB" w:rsidRDefault="00AE44E5" w:rsidP="00F6694D">
      <w:pPr>
        <w:pStyle w:val="Default"/>
        <w:rPr>
          <w:rFonts w:asciiTheme="minorHAnsi" w:hAnsiTheme="minorHAnsi" w:cstheme="minorHAnsi"/>
          <w:sz w:val="20"/>
          <w:szCs w:val="20"/>
        </w:rPr>
      </w:pPr>
      <w:r w:rsidRPr="002550DB">
        <w:rPr>
          <w:rStyle w:val="EndnoteReference"/>
          <w:rFonts w:asciiTheme="minorHAnsi" w:hAnsiTheme="minorHAnsi" w:cstheme="minorHAnsi"/>
          <w:sz w:val="20"/>
          <w:szCs w:val="20"/>
        </w:rPr>
        <w:endnoteRef/>
      </w:r>
      <w:r w:rsidRPr="002550DB">
        <w:rPr>
          <w:rFonts w:asciiTheme="minorHAnsi" w:hAnsiTheme="minorHAnsi" w:cstheme="minorHAnsi"/>
          <w:sz w:val="20"/>
          <w:szCs w:val="20"/>
        </w:rPr>
        <w:t xml:space="preserve"> J Tapia: </w:t>
      </w:r>
      <w:r w:rsidRPr="002550DB">
        <w:rPr>
          <w:rFonts w:asciiTheme="minorHAnsi" w:hAnsiTheme="minorHAnsi" w:cstheme="minorHAnsi"/>
          <w:bCs/>
          <w:sz w:val="20"/>
          <w:szCs w:val="20"/>
        </w:rPr>
        <w:t xml:space="preserve">Profits encourage investment, investment dampens profits, and government spending has little effect — Business-cycle dynamics in the US, 1929-2013, unpublished, </w:t>
      </w:r>
      <w:r w:rsidRPr="002550DB">
        <w:rPr>
          <w:rFonts w:asciiTheme="minorHAnsi" w:hAnsiTheme="minorHAnsi" w:cstheme="minorHAnsi"/>
          <w:sz w:val="20"/>
          <w:szCs w:val="20"/>
        </w:rPr>
        <w:t xml:space="preserve">“The variation in profits explains no less of 25% of the change in business investment (in 1961-1990, Table 4, panel C), and up to 59% of it (in 1991-2013, Table 4, panel D). Models reveal a substantial stability of the effect estimate. Thus a 1 percentage point increase in business investment reduces the profit share next year by 0.54 percentage points in 1961-1990, and by 0.56 percentage points in 1991-2013 (Table 3, panels C and D).  In models to explain present investment by past government spending (Table 5) or government investment by past investment the explanatory variable (Table 8) has different sign in different samples. For instance, government spending seems to have </w:t>
      </w:r>
      <w:proofErr w:type="gramStart"/>
      <w:r w:rsidRPr="002550DB">
        <w:rPr>
          <w:rFonts w:asciiTheme="minorHAnsi" w:hAnsiTheme="minorHAnsi" w:cstheme="minorHAnsi"/>
          <w:sz w:val="20"/>
          <w:szCs w:val="20"/>
        </w:rPr>
        <w:t>an</w:t>
      </w:r>
      <w:proofErr w:type="gramEnd"/>
      <w:r w:rsidRPr="002550DB">
        <w:rPr>
          <w:rFonts w:asciiTheme="minorHAnsi" w:hAnsiTheme="minorHAnsi" w:cstheme="minorHAnsi"/>
          <w:sz w:val="20"/>
          <w:szCs w:val="20"/>
        </w:rPr>
        <w:t xml:space="preserve"> stimulating effect on gross investment in 1961-1990 but a negative or null effect in 1991-2013…. Thus on the basis of the results of the analysis it can be said with confidence that profits stimulate investment and that in-vestment cuts future profits. However, on the basis of the analysis not much can be said on the relation between government spending and investment.”</w:t>
      </w:r>
    </w:p>
  </w:endnote>
  <w:endnote w:id="31">
    <w:p w:rsidR="00AE44E5" w:rsidRPr="002550DB" w:rsidRDefault="00AE44E5" w:rsidP="0099407E">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http://krugman.blogs.nytimes.com/2015/11/28/demand-supply-and-macroeconomic-models/</w:t>
      </w:r>
    </w:p>
  </w:endnote>
  <w:endnote w:id="32">
    <w:p w:rsidR="00AE44E5" w:rsidRPr="002550DB" w:rsidRDefault="00AE44E5" w:rsidP="0099407E">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Alberto </w:t>
      </w:r>
      <w:proofErr w:type="spellStart"/>
      <w:r w:rsidRPr="002550DB">
        <w:rPr>
          <w:rFonts w:cstheme="minorHAnsi"/>
          <w:sz w:val="20"/>
          <w:szCs w:val="20"/>
        </w:rPr>
        <w:t>Alesina</w:t>
      </w:r>
      <w:proofErr w:type="spellEnd"/>
      <w:r w:rsidRPr="002550DB">
        <w:rPr>
          <w:rFonts w:cstheme="minorHAnsi"/>
          <w:sz w:val="20"/>
          <w:szCs w:val="20"/>
        </w:rPr>
        <w:t xml:space="preserve"> and Francesco </w:t>
      </w:r>
      <w:proofErr w:type="spellStart"/>
      <w:r w:rsidRPr="002550DB">
        <w:rPr>
          <w:rFonts w:cstheme="minorHAnsi"/>
          <w:sz w:val="20"/>
          <w:szCs w:val="20"/>
        </w:rPr>
        <w:t>Giavazzi</w:t>
      </w:r>
      <w:proofErr w:type="spellEnd"/>
      <w:r w:rsidRPr="002550DB">
        <w:rPr>
          <w:rFonts w:cstheme="minorHAnsi"/>
          <w:sz w:val="20"/>
          <w:szCs w:val="20"/>
        </w:rPr>
        <w:t>, NBER Reporter 2015 Number 3: Research Summary, The Effects of Austerity: Recent Research</w:t>
      </w:r>
    </w:p>
  </w:endnote>
  <w:endnote w:id="33">
    <w:p w:rsidR="00AE44E5" w:rsidRPr="002550DB" w:rsidRDefault="00AE44E5" w:rsidP="00AE44E5">
      <w:pPr>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w:t>
      </w:r>
      <w:proofErr w:type="spellStart"/>
      <w:r w:rsidRPr="002550DB">
        <w:rPr>
          <w:rFonts w:cstheme="minorHAnsi"/>
          <w:sz w:val="20"/>
          <w:szCs w:val="20"/>
          <w:shd w:val="clear" w:color="auto" w:fill="FAFAFA"/>
        </w:rPr>
        <w:t>Cugnasca</w:t>
      </w:r>
      <w:proofErr w:type="spellEnd"/>
      <w:r w:rsidRPr="002550DB">
        <w:rPr>
          <w:rFonts w:cstheme="minorHAnsi"/>
          <w:sz w:val="20"/>
          <w:szCs w:val="20"/>
          <w:shd w:val="clear" w:color="auto" w:fill="FAFAFA"/>
        </w:rPr>
        <w:t xml:space="preserve">, A, P Rother (2015), "Fiscal multipliers during consolidation: evidence from the European Union", Working Paper Series 1863, European Central Bank. </w:t>
      </w:r>
      <w:hyperlink r:id="rId11" w:history="1">
        <w:r w:rsidRPr="002550DB">
          <w:rPr>
            <w:rFonts w:cstheme="minorHAnsi"/>
            <w:sz w:val="20"/>
            <w:szCs w:val="20"/>
          </w:rPr>
          <w:t>http://www.voxeu.org/article/fiscal-multipliers-during-consolidation-evidence-european-union</w:t>
        </w:r>
      </w:hyperlink>
      <w:r w:rsidRPr="002550DB">
        <w:rPr>
          <w:rFonts w:cstheme="minorHAnsi"/>
          <w:sz w:val="20"/>
          <w:szCs w:val="20"/>
        </w:rPr>
        <w:t xml:space="preserve">.  However, a recent paper by House, </w:t>
      </w:r>
      <w:proofErr w:type="spellStart"/>
      <w:r w:rsidRPr="002550DB">
        <w:rPr>
          <w:rFonts w:cstheme="minorHAnsi"/>
          <w:sz w:val="20"/>
          <w:szCs w:val="20"/>
        </w:rPr>
        <w:t>Proebsting</w:t>
      </w:r>
      <w:proofErr w:type="spellEnd"/>
      <w:r w:rsidRPr="002550DB">
        <w:rPr>
          <w:rFonts w:cstheme="minorHAnsi"/>
          <w:sz w:val="20"/>
          <w:szCs w:val="20"/>
        </w:rPr>
        <w:t xml:space="preserve"> and </w:t>
      </w:r>
      <w:proofErr w:type="spellStart"/>
      <w:r w:rsidRPr="002550DB">
        <w:rPr>
          <w:rFonts w:cstheme="minorHAnsi"/>
          <w:sz w:val="20"/>
          <w:szCs w:val="20"/>
        </w:rPr>
        <w:t>Tesar</w:t>
      </w:r>
      <w:proofErr w:type="spellEnd"/>
      <w:r w:rsidRPr="002550DB">
        <w:rPr>
          <w:rFonts w:cstheme="minorHAnsi"/>
          <w:sz w:val="20"/>
          <w:szCs w:val="20"/>
        </w:rPr>
        <w:t xml:space="preserve"> argue that ‘austerity’ measures were significantly damaging to growth after 2009, Austerity in the aftermath of the Great Recession, February 2017, NBER Working Paper 23147, https://www.rba.gov.au/publications/workshops/research/2016/pdf/rba-workshop-2016-tesar.pdf</w:t>
      </w:r>
    </w:p>
  </w:endnote>
  <w:endnote w:id="34">
    <w:p w:rsidR="00883C5A" w:rsidRPr="00883C5A" w:rsidRDefault="00883C5A" w:rsidP="00883C5A">
      <w:pPr>
        <w:rPr>
          <w:sz w:val="20"/>
          <w:szCs w:val="20"/>
        </w:rPr>
      </w:pPr>
      <w:r>
        <w:rPr>
          <w:rStyle w:val="EndnoteReference"/>
        </w:rPr>
        <w:endnoteRef/>
      </w:r>
      <w:r>
        <w:t xml:space="preserve"> </w:t>
      </w:r>
      <w:r w:rsidRPr="00883C5A">
        <w:rPr>
          <w:sz w:val="20"/>
          <w:szCs w:val="20"/>
        </w:rPr>
        <w:t xml:space="preserve">G </w:t>
      </w:r>
      <w:proofErr w:type="spellStart"/>
      <w:r w:rsidRPr="00883C5A">
        <w:rPr>
          <w:sz w:val="20"/>
          <w:szCs w:val="20"/>
        </w:rPr>
        <w:t>Carchedi</w:t>
      </w:r>
      <w:proofErr w:type="spellEnd"/>
      <w:r w:rsidRPr="00883C5A">
        <w:rPr>
          <w:sz w:val="20"/>
          <w:szCs w:val="20"/>
        </w:rPr>
        <w:t>, The old is dying but the new cannot be born: on the exhaustion of the present phase of Western capitalism, paper presented to the Capital.150 seminar, September 2017, London and forthcoming in World in Crisis (Haymarket 2018)</w:t>
      </w:r>
    </w:p>
  </w:endnote>
  <w:endnote w:id="35">
    <w:p w:rsidR="00AE44E5" w:rsidRPr="002550DB" w:rsidRDefault="00AE44E5" w:rsidP="00F6694D">
      <w:pPr>
        <w:autoSpaceDE w:val="0"/>
        <w:autoSpaceDN w:val="0"/>
        <w:adjustRightInd w:val="0"/>
        <w:spacing w:after="0" w:line="240" w:lineRule="auto"/>
        <w:rPr>
          <w:rFonts w:cstheme="minorHAnsi"/>
          <w:sz w:val="20"/>
          <w:szCs w:val="20"/>
        </w:rPr>
      </w:pPr>
      <w:r w:rsidRPr="002550DB">
        <w:rPr>
          <w:rStyle w:val="EndnoteReference"/>
          <w:rFonts w:cstheme="minorHAnsi"/>
          <w:sz w:val="20"/>
          <w:szCs w:val="20"/>
        </w:rPr>
        <w:endnoteRef/>
      </w:r>
      <w:r w:rsidRPr="002550DB">
        <w:rPr>
          <w:rFonts w:cstheme="minorHAnsi"/>
          <w:sz w:val="20"/>
          <w:szCs w:val="20"/>
        </w:rPr>
        <w:t xml:space="preserve"> The data for all these results can be found from FRED, Federal Reserve Bank of St Louis. GDP = real gross domestic product, BEA, NIPA ($</w:t>
      </w:r>
      <w:proofErr w:type="spellStart"/>
      <w:r w:rsidRPr="002550DB">
        <w:rPr>
          <w:rFonts w:cstheme="minorHAnsi"/>
          <w:sz w:val="20"/>
          <w:szCs w:val="20"/>
        </w:rPr>
        <w:t>bn</w:t>
      </w:r>
      <w:proofErr w:type="spellEnd"/>
      <w:r w:rsidRPr="002550DB">
        <w:rPr>
          <w:rFonts w:cstheme="minorHAnsi"/>
          <w:sz w:val="20"/>
          <w:szCs w:val="20"/>
        </w:rPr>
        <w:t>), chained 2005, GDPC96. Investment = real private non-residential fixed investment ($</w:t>
      </w:r>
      <w:proofErr w:type="spellStart"/>
      <w:r w:rsidRPr="002550DB">
        <w:rPr>
          <w:rFonts w:cstheme="minorHAnsi"/>
          <w:sz w:val="20"/>
          <w:szCs w:val="20"/>
        </w:rPr>
        <w:t>bn</w:t>
      </w:r>
      <w:proofErr w:type="spellEnd"/>
      <w:r w:rsidRPr="002550DB">
        <w:rPr>
          <w:rFonts w:cstheme="minorHAnsi"/>
          <w:sz w:val="20"/>
          <w:szCs w:val="20"/>
        </w:rPr>
        <w:t xml:space="preserve">), chained 2006, PNFIC96. Corporate profits = corporate profits with IV and CC adjustments </w:t>
      </w:r>
      <w:proofErr w:type="spellStart"/>
      <w:proofErr w:type="gramStart"/>
      <w:r w:rsidRPr="002550DB">
        <w:rPr>
          <w:rFonts w:cstheme="minorHAnsi"/>
          <w:sz w:val="20"/>
          <w:szCs w:val="20"/>
        </w:rPr>
        <w:t>sa</w:t>
      </w:r>
      <w:proofErr w:type="spellEnd"/>
      <w:proofErr w:type="gramEnd"/>
      <w:r w:rsidRPr="002550DB">
        <w:rPr>
          <w:rFonts w:cstheme="minorHAnsi"/>
          <w:sz w:val="20"/>
          <w:szCs w:val="20"/>
        </w:rPr>
        <w:t xml:space="preserve"> annualised CPROFIT.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DD7" w:rsidRDefault="00281DD7" w:rsidP="007C274F">
      <w:pPr>
        <w:spacing w:after="0" w:line="240" w:lineRule="auto"/>
      </w:pPr>
      <w:r>
        <w:separator/>
      </w:r>
    </w:p>
  </w:footnote>
  <w:footnote w:type="continuationSeparator" w:id="0">
    <w:p w:rsidR="00281DD7" w:rsidRDefault="00281DD7" w:rsidP="007C2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02784"/>
      <w:docPartObj>
        <w:docPartGallery w:val="Page Numbers (Top of Page)"/>
        <w:docPartUnique/>
      </w:docPartObj>
    </w:sdtPr>
    <w:sdtEndPr>
      <w:rPr>
        <w:color w:val="808080" w:themeColor="background1" w:themeShade="80"/>
        <w:spacing w:val="60"/>
      </w:rPr>
    </w:sdtEndPr>
    <w:sdtContent>
      <w:p w:rsidR="00AE44E5" w:rsidRDefault="00AE44E5">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67129F" w:rsidRPr="0067129F">
          <w:rPr>
            <w:b/>
            <w:bCs/>
            <w:noProof/>
          </w:rPr>
          <w:t>19</w:t>
        </w:r>
        <w:r>
          <w:rPr>
            <w:b/>
            <w:bCs/>
            <w:noProof/>
          </w:rPr>
          <w:fldChar w:fldCharType="end"/>
        </w:r>
        <w:r>
          <w:rPr>
            <w:b/>
            <w:bCs/>
          </w:rPr>
          <w:t xml:space="preserve"> | </w:t>
        </w:r>
        <w:r>
          <w:rPr>
            <w:color w:val="808080" w:themeColor="background1" w:themeShade="80"/>
            <w:spacing w:val="60"/>
          </w:rPr>
          <w:t>Page</w:t>
        </w:r>
      </w:p>
    </w:sdtContent>
  </w:sdt>
  <w:p w:rsidR="00AE44E5" w:rsidRDefault="00AE44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1817EE"/>
    <w:multiLevelType w:val="hybridMultilevel"/>
    <w:tmpl w:val="E7FE98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1C63C29"/>
    <w:multiLevelType w:val="hybridMultilevel"/>
    <w:tmpl w:val="C2525B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96A6A04"/>
    <w:multiLevelType w:val="hybridMultilevel"/>
    <w:tmpl w:val="7F46FD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6F2"/>
    <w:rsid w:val="000053B8"/>
    <w:rsid w:val="000A5967"/>
    <w:rsid w:val="000A7FDD"/>
    <w:rsid w:val="000B478A"/>
    <w:rsid w:val="000E19E2"/>
    <w:rsid w:val="000F7BFF"/>
    <w:rsid w:val="00104FA8"/>
    <w:rsid w:val="0013605B"/>
    <w:rsid w:val="001501C6"/>
    <w:rsid w:val="00185EAA"/>
    <w:rsid w:val="001E3422"/>
    <w:rsid w:val="0021048E"/>
    <w:rsid w:val="002408D3"/>
    <w:rsid w:val="002550DB"/>
    <w:rsid w:val="00281DD7"/>
    <w:rsid w:val="002C7367"/>
    <w:rsid w:val="002E0BEB"/>
    <w:rsid w:val="002F5479"/>
    <w:rsid w:val="0031103B"/>
    <w:rsid w:val="003204C1"/>
    <w:rsid w:val="00333C28"/>
    <w:rsid w:val="003662C2"/>
    <w:rsid w:val="003B1442"/>
    <w:rsid w:val="003E4BB7"/>
    <w:rsid w:val="003F0E70"/>
    <w:rsid w:val="00403EE2"/>
    <w:rsid w:val="0041436D"/>
    <w:rsid w:val="00422B7A"/>
    <w:rsid w:val="00423743"/>
    <w:rsid w:val="004B58A7"/>
    <w:rsid w:val="00512160"/>
    <w:rsid w:val="00553AF4"/>
    <w:rsid w:val="00555D24"/>
    <w:rsid w:val="00567319"/>
    <w:rsid w:val="005E5196"/>
    <w:rsid w:val="005F72A3"/>
    <w:rsid w:val="00607AC2"/>
    <w:rsid w:val="00635D41"/>
    <w:rsid w:val="0065610D"/>
    <w:rsid w:val="0067129F"/>
    <w:rsid w:val="006C63AE"/>
    <w:rsid w:val="00722206"/>
    <w:rsid w:val="007433DC"/>
    <w:rsid w:val="007469EC"/>
    <w:rsid w:val="00760CF3"/>
    <w:rsid w:val="007854B2"/>
    <w:rsid w:val="007B2298"/>
    <w:rsid w:val="007C274F"/>
    <w:rsid w:val="007E46F6"/>
    <w:rsid w:val="007E4EFF"/>
    <w:rsid w:val="007F0160"/>
    <w:rsid w:val="007F6835"/>
    <w:rsid w:val="007F6E12"/>
    <w:rsid w:val="007F7E1D"/>
    <w:rsid w:val="00811EC0"/>
    <w:rsid w:val="0083440D"/>
    <w:rsid w:val="00855151"/>
    <w:rsid w:val="00883C5A"/>
    <w:rsid w:val="008962CA"/>
    <w:rsid w:val="008A59F2"/>
    <w:rsid w:val="008B65A0"/>
    <w:rsid w:val="00920467"/>
    <w:rsid w:val="00922176"/>
    <w:rsid w:val="00934EEA"/>
    <w:rsid w:val="009462AE"/>
    <w:rsid w:val="0099407E"/>
    <w:rsid w:val="009A1818"/>
    <w:rsid w:val="009C1762"/>
    <w:rsid w:val="009D0F85"/>
    <w:rsid w:val="00A04D5E"/>
    <w:rsid w:val="00A44EDB"/>
    <w:rsid w:val="00A85296"/>
    <w:rsid w:val="00A976BB"/>
    <w:rsid w:val="00AA3C35"/>
    <w:rsid w:val="00AA4849"/>
    <w:rsid w:val="00AE44E5"/>
    <w:rsid w:val="00B12BD9"/>
    <w:rsid w:val="00B21DE5"/>
    <w:rsid w:val="00B90779"/>
    <w:rsid w:val="00C1635E"/>
    <w:rsid w:val="00C42BBA"/>
    <w:rsid w:val="00C43A91"/>
    <w:rsid w:val="00C75EEF"/>
    <w:rsid w:val="00C77B65"/>
    <w:rsid w:val="00C836D1"/>
    <w:rsid w:val="00CC418E"/>
    <w:rsid w:val="00CF5387"/>
    <w:rsid w:val="00D42E13"/>
    <w:rsid w:val="00D67C4D"/>
    <w:rsid w:val="00D92F6C"/>
    <w:rsid w:val="00DE05EB"/>
    <w:rsid w:val="00DF5A26"/>
    <w:rsid w:val="00E106F2"/>
    <w:rsid w:val="00E309A5"/>
    <w:rsid w:val="00E44268"/>
    <w:rsid w:val="00F05B17"/>
    <w:rsid w:val="00F6694D"/>
    <w:rsid w:val="00F67C88"/>
    <w:rsid w:val="00F739E6"/>
    <w:rsid w:val="00FB2950"/>
    <w:rsid w:val="00FB5047"/>
    <w:rsid w:val="00FC4690"/>
    <w:rsid w:val="00FD7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F5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04FA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60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13605B"/>
  </w:style>
  <w:style w:type="character" w:styleId="Emphasis">
    <w:name w:val="Emphasis"/>
    <w:basedOn w:val="DefaultParagraphFont"/>
    <w:uiPriority w:val="20"/>
    <w:qFormat/>
    <w:rsid w:val="0013605B"/>
    <w:rPr>
      <w:i/>
      <w:iCs/>
    </w:rPr>
  </w:style>
  <w:style w:type="paragraph" w:styleId="BalloonText">
    <w:name w:val="Balloon Text"/>
    <w:basedOn w:val="Normal"/>
    <w:link w:val="BalloonTextChar"/>
    <w:uiPriority w:val="99"/>
    <w:semiHidden/>
    <w:unhideWhenUsed/>
    <w:rsid w:val="001360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05B"/>
    <w:rPr>
      <w:rFonts w:ascii="Tahoma" w:hAnsi="Tahoma" w:cs="Tahoma"/>
      <w:sz w:val="16"/>
      <w:szCs w:val="16"/>
    </w:rPr>
  </w:style>
  <w:style w:type="paragraph" w:styleId="ListParagraph">
    <w:name w:val="List Paragraph"/>
    <w:basedOn w:val="Normal"/>
    <w:uiPriority w:val="34"/>
    <w:qFormat/>
    <w:rsid w:val="007E46F6"/>
    <w:pPr>
      <w:ind w:left="720"/>
      <w:contextualSpacing/>
    </w:pPr>
  </w:style>
  <w:style w:type="paragraph" w:styleId="EndnoteText">
    <w:name w:val="endnote text"/>
    <w:basedOn w:val="Normal"/>
    <w:link w:val="EndnoteTextChar"/>
    <w:uiPriority w:val="99"/>
    <w:unhideWhenUsed/>
    <w:rsid w:val="007C274F"/>
    <w:pPr>
      <w:spacing w:after="0" w:line="240" w:lineRule="auto"/>
    </w:pPr>
    <w:rPr>
      <w:sz w:val="20"/>
      <w:szCs w:val="20"/>
    </w:rPr>
  </w:style>
  <w:style w:type="character" w:customStyle="1" w:styleId="EndnoteTextChar">
    <w:name w:val="Endnote Text Char"/>
    <w:basedOn w:val="DefaultParagraphFont"/>
    <w:link w:val="EndnoteText"/>
    <w:uiPriority w:val="99"/>
    <w:rsid w:val="007C274F"/>
    <w:rPr>
      <w:sz w:val="20"/>
      <w:szCs w:val="20"/>
    </w:rPr>
  </w:style>
  <w:style w:type="character" w:styleId="EndnoteReference">
    <w:name w:val="endnote reference"/>
    <w:basedOn w:val="DefaultParagraphFont"/>
    <w:uiPriority w:val="99"/>
    <w:unhideWhenUsed/>
    <w:rsid w:val="007C274F"/>
    <w:rPr>
      <w:vertAlign w:val="superscript"/>
    </w:rPr>
  </w:style>
  <w:style w:type="paragraph" w:styleId="FootnoteText">
    <w:name w:val="footnote text"/>
    <w:basedOn w:val="Normal"/>
    <w:link w:val="FootnoteTextChar"/>
    <w:uiPriority w:val="99"/>
    <w:semiHidden/>
    <w:unhideWhenUsed/>
    <w:rsid w:val="007C27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274F"/>
    <w:rPr>
      <w:sz w:val="20"/>
      <w:szCs w:val="20"/>
    </w:rPr>
  </w:style>
  <w:style w:type="character" w:styleId="FootnoteReference">
    <w:name w:val="footnote reference"/>
    <w:basedOn w:val="DefaultParagraphFont"/>
    <w:uiPriority w:val="99"/>
    <w:semiHidden/>
    <w:unhideWhenUsed/>
    <w:rsid w:val="007C274F"/>
    <w:rPr>
      <w:vertAlign w:val="superscript"/>
    </w:rPr>
  </w:style>
  <w:style w:type="character" w:styleId="Hyperlink">
    <w:name w:val="Hyperlink"/>
    <w:basedOn w:val="DefaultParagraphFont"/>
    <w:uiPriority w:val="99"/>
    <w:unhideWhenUsed/>
    <w:rsid w:val="0099407E"/>
    <w:rPr>
      <w:color w:val="0000FF"/>
      <w:u w:val="single"/>
    </w:rPr>
  </w:style>
  <w:style w:type="paragraph" w:customStyle="1" w:styleId="notes">
    <w:name w:val="notes"/>
    <w:basedOn w:val="Normal"/>
    <w:rsid w:val="0099407E"/>
    <w:pPr>
      <w:spacing w:before="450" w:after="150" w:line="240" w:lineRule="auto"/>
    </w:pPr>
    <w:rPr>
      <w:rFonts w:ascii="Times New Roman" w:eastAsia="Times New Roman" w:hAnsi="Times New Roman" w:cs="Times New Roman"/>
      <w:b/>
      <w:bCs/>
      <w:color w:val="333333"/>
      <w:sz w:val="24"/>
      <w:szCs w:val="24"/>
      <w:lang w:eastAsia="en-GB"/>
    </w:rPr>
  </w:style>
  <w:style w:type="character" w:customStyle="1" w:styleId="char-style-override-2">
    <w:name w:val="char-style-override-2"/>
    <w:basedOn w:val="DefaultParagraphFont"/>
    <w:rsid w:val="0099407E"/>
  </w:style>
  <w:style w:type="character" w:styleId="Strong">
    <w:name w:val="Strong"/>
    <w:basedOn w:val="DefaultParagraphFont"/>
    <w:uiPriority w:val="22"/>
    <w:qFormat/>
    <w:rsid w:val="00403EE2"/>
    <w:rPr>
      <w:b/>
      <w:bCs/>
    </w:rPr>
  </w:style>
  <w:style w:type="paragraph" w:customStyle="1" w:styleId="Default">
    <w:name w:val="Default"/>
    <w:rsid w:val="003204C1"/>
    <w:pPr>
      <w:autoSpaceDE w:val="0"/>
      <w:autoSpaceDN w:val="0"/>
      <w:adjustRightInd w:val="0"/>
      <w:spacing w:after="0" w:line="240" w:lineRule="auto"/>
    </w:pPr>
    <w:rPr>
      <w:rFonts w:ascii="Georgia" w:hAnsi="Georgia" w:cs="Georgia"/>
      <w:color w:val="000000"/>
      <w:sz w:val="24"/>
      <w:szCs w:val="24"/>
    </w:rPr>
  </w:style>
  <w:style w:type="character" w:customStyle="1" w:styleId="Heading2Char">
    <w:name w:val="Heading 2 Char"/>
    <w:basedOn w:val="DefaultParagraphFont"/>
    <w:link w:val="Heading2"/>
    <w:uiPriority w:val="9"/>
    <w:rsid w:val="00104FA8"/>
    <w:rPr>
      <w:rFonts w:ascii="Times New Roman" w:eastAsia="Times New Roman" w:hAnsi="Times New Roman" w:cs="Times New Roman"/>
      <w:b/>
      <w:bCs/>
      <w:sz w:val="36"/>
      <w:szCs w:val="36"/>
      <w:lang w:eastAsia="en-GB"/>
    </w:rPr>
  </w:style>
  <w:style w:type="paragraph" w:customStyle="1" w:styleId="bibtop">
    <w:name w:val="bibtop"/>
    <w:basedOn w:val="Normal"/>
    <w:rsid w:val="00104FA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2F5479"/>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B21DE5"/>
    <w:rPr>
      <w:color w:val="800080" w:themeColor="followedHyperlink"/>
      <w:u w:val="single"/>
    </w:rPr>
  </w:style>
  <w:style w:type="character" w:customStyle="1" w:styleId="a-size-large">
    <w:name w:val="a-size-large"/>
    <w:basedOn w:val="DefaultParagraphFont"/>
    <w:rsid w:val="00920467"/>
  </w:style>
  <w:style w:type="paragraph" w:styleId="Header">
    <w:name w:val="header"/>
    <w:basedOn w:val="Normal"/>
    <w:link w:val="HeaderChar"/>
    <w:uiPriority w:val="99"/>
    <w:unhideWhenUsed/>
    <w:rsid w:val="007F7E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E1D"/>
  </w:style>
  <w:style w:type="paragraph" w:styleId="Footer">
    <w:name w:val="footer"/>
    <w:basedOn w:val="Normal"/>
    <w:link w:val="FooterChar"/>
    <w:uiPriority w:val="99"/>
    <w:unhideWhenUsed/>
    <w:rsid w:val="007F7E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E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F5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104FA8"/>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360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13605B"/>
  </w:style>
  <w:style w:type="character" w:styleId="Emphasis">
    <w:name w:val="Emphasis"/>
    <w:basedOn w:val="DefaultParagraphFont"/>
    <w:uiPriority w:val="20"/>
    <w:qFormat/>
    <w:rsid w:val="0013605B"/>
    <w:rPr>
      <w:i/>
      <w:iCs/>
    </w:rPr>
  </w:style>
  <w:style w:type="paragraph" w:styleId="BalloonText">
    <w:name w:val="Balloon Text"/>
    <w:basedOn w:val="Normal"/>
    <w:link w:val="BalloonTextChar"/>
    <w:uiPriority w:val="99"/>
    <w:semiHidden/>
    <w:unhideWhenUsed/>
    <w:rsid w:val="001360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05B"/>
    <w:rPr>
      <w:rFonts w:ascii="Tahoma" w:hAnsi="Tahoma" w:cs="Tahoma"/>
      <w:sz w:val="16"/>
      <w:szCs w:val="16"/>
    </w:rPr>
  </w:style>
  <w:style w:type="paragraph" w:styleId="ListParagraph">
    <w:name w:val="List Paragraph"/>
    <w:basedOn w:val="Normal"/>
    <w:uiPriority w:val="34"/>
    <w:qFormat/>
    <w:rsid w:val="007E46F6"/>
    <w:pPr>
      <w:ind w:left="720"/>
      <w:contextualSpacing/>
    </w:pPr>
  </w:style>
  <w:style w:type="paragraph" w:styleId="EndnoteText">
    <w:name w:val="endnote text"/>
    <w:basedOn w:val="Normal"/>
    <w:link w:val="EndnoteTextChar"/>
    <w:uiPriority w:val="99"/>
    <w:unhideWhenUsed/>
    <w:rsid w:val="007C274F"/>
    <w:pPr>
      <w:spacing w:after="0" w:line="240" w:lineRule="auto"/>
    </w:pPr>
    <w:rPr>
      <w:sz w:val="20"/>
      <w:szCs w:val="20"/>
    </w:rPr>
  </w:style>
  <w:style w:type="character" w:customStyle="1" w:styleId="EndnoteTextChar">
    <w:name w:val="Endnote Text Char"/>
    <w:basedOn w:val="DefaultParagraphFont"/>
    <w:link w:val="EndnoteText"/>
    <w:uiPriority w:val="99"/>
    <w:rsid w:val="007C274F"/>
    <w:rPr>
      <w:sz w:val="20"/>
      <w:szCs w:val="20"/>
    </w:rPr>
  </w:style>
  <w:style w:type="character" w:styleId="EndnoteReference">
    <w:name w:val="endnote reference"/>
    <w:basedOn w:val="DefaultParagraphFont"/>
    <w:uiPriority w:val="99"/>
    <w:unhideWhenUsed/>
    <w:rsid w:val="007C274F"/>
    <w:rPr>
      <w:vertAlign w:val="superscript"/>
    </w:rPr>
  </w:style>
  <w:style w:type="paragraph" w:styleId="FootnoteText">
    <w:name w:val="footnote text"/>
    <w:basedOn w:val="Normal"/>
    <w:link w:val="FootnoteTextChar"/>
    <w:uiPriority w:val="99"/>
    <w:semiHidden/>
    <w:unhideWhenUsed/>
    <w:rsid w:val="007C274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274F"/>
    <w:rPr>
      <w:sz w:val="20"/>
      <w:szCs w:val="20"/>
    </w:rPr>
  </w:style>
  <w:style w:type="character" w:styleId="FootnoteReference">
    <w:name w:val="footnote reference"/>
    <w:basedOn w:val="DefaultParagraphFont"/>
    <w:uiPriority w:val="99"/>
    <w:semiHidden/>
    <w:unhideWhenUsed/>
    <w:rsid w:val="007C274F"/>
    <w:rPr>
      <w:vertAlign w:val="superscript"/>
    </w:rPr>
  </w:style>
  <w:style w:type="character" w:styleId="Hyperlink">
    <w:name w:val="Hyperlink"/>
    <w:basedOn w:val="DefaultParagraphFont"/>
    <w:uiPriority w:val="99"/>
    <w:unhideWhenUsed/>
    <w:rsid w:val="0099407E"/>
    <w:rPr>
      <w:color w:val="0000FF"/>
      <w:u w:val="single"/>
    </w:rPr>
  </w:style>
  <w:style w:type="paragraph" w:customStyle="1" w:styleId="notes">
    <w:name w:val="notes"/>
    <w:basedOn w:val="Normal"/>
    <w:rsid w:val="0099407E"/>
    <w:pPr>
      <w:spacing w:before="450" w:after="150" w:line="240" w:lineRule="auto"/>
    </w:pPr>
    <w:rPr>
      <w:rFonts w:ascii="Times New Roman" w:eastAsia="Times New Roman" w:hAnsi="Times New Roman" w:cs="Times New Roman"/>
      <w:b/>
      <w:bCs/>
      <w:color w:val="333333"/>
      <w:sz w:val="24"/>
      <w:szCs w:val="24"/>
      <w:lang w:eastAsia="en-GB"/>
    </w:rPr>
  </w:style>
  <w:style w:type="character" w:customStyle="1" w:styleId="char-style-override-2">
    <w:name w:val="char-style-override-2"/>
    <w:basedOn w:val="DefaultParagraphFont"/>
    <w:rsid w:val="0099407E"/>
  </w:style>
  <w:style w:type="character" w:styleId="Strong">
    <w:name w:val="Strong"/>
    <w:basedOn w:val="DefaultParagraphFont"/>
    <w:uiPriority w:val="22"/>
    <w:qFormat/>
    <w:rsid w:val="00403EE2"/>
    <w:rPr>
      <w:b/>
      <w:bCs/>
    </w:rPr>
  </w:style>
  <w:style w:type="paragraph" w:customStyle="1" w:styleId="Default">
    <w:name w:val="Default"/>
    <w:rsid w:val="003204C1"/>
    <w:pPr>
      <w:autoSpaceDE w:val="0"/>
      <w:autoSpaceDN w:val="0"/>
      <w:adjustRightInd w:val="0"/>
      <w:spacing w:after="0" w:line="240" w:lineRule="auto"/>
    </w:pPr>
    <w:rPr>
      <w:rFonts w:ascii="Georgia" w:hAnsi="Georgia" w:cs="Georgia"/>
      <w:color w:val="000000"/>
      <w:sz w:val="24"/>
      <w:szCs w:val="24"/>
    </w:rPr>
  </w:style>
  <w:style w:type="character" w:customStyle="1" w:styleId="Heading2Char">
    <w:name w:val="Heading 2 Char"/>
    <w:basedOn w:val="DefaultParagraphFont"/>
    <w:link w:val="Heading2"/>
    <w:uiPriority w:val="9"/>
    <w:rsid w:val="00104FA8"/>
    <w:rPr>
      <w:rFonts w:ascii="Times New Roman" w:eastAsia="Times New Roman" w:hAnsi="Times New Roman" w:cs="Times New Roman"/>
      <w:b/>
      <w:bCs/>
      <w:sz w:val="36"/>
      <w:szCs w:val="36"/>
      <w:lang w:eastAsia="en-GB"/>
    </w:rPr>
  </w:style>
  <w:style w:type="paragraph" w:customStyle="1" w:styleId="bibtop">
    <w:name w:val="bibtop"/>
    <w:basedOn w:val="Normal"/>
    <w:rsid w:val="00104FA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2F5479"/>
    <w:rPr>
      <w:rFonts w:asciiTheme="majorHAnsi" w:eastAsiaTheme="majorEastAsia" w:hAnsiTheme="majorHAnsi" w:cstheme="majorBidi"/>
      <w:b/>
      <w:bCs/>
      <w:color w:val="365F91" w:themeColor="accent1" w:themeShade="BF"/>
      <w:sz w:val="28"/>
      <w:szCs w:val="28"/>
    </w:rPr>
  </w:style>
  <w:style w:type="character" w:styleId="FollowedHyperlink">
    <w:name w:val="FollowedHyperlink"/>
    <w:basedOn w:val="DefaultParagraphFont"/>
    <w:uiPriority w:val="99"/>
    <w:semiHidden/>
    <w:unhideWhenUsed/>
    <w:rsid w:val="00B21DE5"/>
    <w:rPr>
      <w:color w:val="800080" w:themeColor="followedHyperlink"/>
      <w:u w:val="single"/>
    </w:rPr>
  </w:style>
  <w:style w:type="character" w:customStyle="1" w:styleId="a-size-large">
    <w:name w:val="a-size-large"/>
    <w:basedOn w:val="DefaultParagraphFont"/>
    <w:rsid w:val="00920467"/>
  </w:style>
  <w:style w:type="paragraph" w:styleId="Header">
    <w:name w:val="header"/>
    <w:basedOn w:val="Normal"/>
    <w:link w:val="HeaderChar"/>
    <w:uiPriority w:val="99"/>
    <w:unhideWhenUsed/>
    <w:rsid w:val="007F7E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7E1D"/>
  </w:style>
  <w:style w:type="paragraph" w:styleId="Footer">
    <w:name w:val="footer"/>
    <w:basedOn w:val="Normal"/>
    <w:link w:val="FooterChar"/>
    <w:uiPriority w:val="99"/>
    <w:unhideWhenUsed/>
    <w:rsid w:val="007F7E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221033">
      <w:bodyDiv w:val="1"/>
      <w:marLeft w:val="0"/>
      <w:marRight w:val="0"/>
      <w:marTop w:val="0"/>
      <w:marBottom w:val="0"/>
      <w:divBdr>
        <w:top w:val="none" w:sz="0" w:space="0" w:color="auto"/>
        <w:left w:val="none" w:sz="0" w:space="0" w:color="auto"/>
        <w:bottom w:val="none" w:sz="0" w:space="0" w:color="auto"/>
        <w:right w:val="none" w:sz="0" w:space="0" w:color="auto"/>
      </w:divBdr>
    </w:div>
    <w:div w:id="193464705">
      <w:bodyDiv w:val="1"/>
      <w:marLeft w:val="0"/>
      <w:marRight w:val="0"/>
      <w:marTop w:val="0"/>
      <w:marBottom w:val="0"/>
      <w:divBdr>
        <w:top w:val="none" w:sz="0" w:space="0" w:color="auto"/>
        <w:left w:val="none" w:sz="0" w:space="0" w:color="auto"/>
        <w:bottom w:val="none" w:sz="0" w:space="0" w:color="auto"/>
        <w:right w:val="none" w:sz="0" w:space="0" w:color="auto"/>
      </w:divBdr>
    </w:div>
    <w:div w:id="244144867">
      <w:bodyDiv w:val="1"/>
      <w:marLeft w:val="0"/>
      <w:marRight w:val="0"/>
      <w:marTop w:val="0"/>
      <w:marBottom w:val="0"/>
      <w:divBdr>
        <w:top w:val="none" w:sz="0" w:space="0" w:color="auto"/>
        <w:left w:val="none" w:sz="0" w:space="0" w:color="auto"/>
        <w:bottom w:val="none" w:sz="0" w:space="0" w:color="auto"/>
        <w:right w:val="none" w:sz="0" w:space="0" w:color="auto"/>
      </w:divBdr>
    </w:div>
    <w:div w:id="276178334">
      <w:bodyDiv w:val="1"/>
      <w:marLeft w:val="0"/>
      <w:marRight w:val="0"/>
      <w:marTop w:val="0"/>
      <w:marBottom w:val="0"/>
      <w:divBdr>
        <w:top w:val="none" w:sz="0" w:space="0" w:color="auto"/>
        <w:left w:val="none" w:sz="0" w:space="0" w:color="auto"/>
        <w:bottom w:val="none" w:sz="0" w:space="0" w:color="auto"/>
        <w:right w:val="none" w:sz="0" w:space="0" w:color="auto"/>
      </w:divBdr>
    </w:div>
    <w:div w:id="583688925">
      <w:bodyDiv w:val="1"/>
      <w:marLeft w:val="0"/>
      <w:marRight w:val="0"/>
      <w:marTop w:val="0"/>
      <w:marBottom w:val="0"/>
      <w:divBdr>
        <w:top w:val="none" w:sz="0" w:space="0" w:color="auto"/>
        <w:left w:val="none" w:sz="0" w:space="0" w:color="auto"/>
        <w:bottom w:val="none" w:sz="0" w:space="0" w:color="auto"/>
        <w:right w:val="none" w:sz="0" w:space="0" w:color="auto"/>
      </w:divBdr>
      <w:divsChild>
        <w:div w:id="1718814681">
          <w:marLeft w:val="0"/>
          <w:marRight w:val="0"/>
          <w:marTop w:val="0"/>
          <w:marBottom w:val="0"/>
          <w:divBdr>
            <w:top w:val="none" w:sz="0" w:space="0" w:color="auto"/>
            <w:left w:val="none" w:sz="0" w:space="0" w:color="auto"/>
            <w:bottom w:val="none" w:sz="0" w:space="0" w:color="auto"/>
            <w:right w:val="none" w:sz="0" w:space="0" w:color="auto"/>
          </w:divBdr>
        </w:div>
      </w:divsChild>
    </w:div>
    <w:div w:id="719941986">
      <w:bodyDiv w:val="1"/>
      <w:marLeft w:val="0"/>
      <w:marRight w:val="0"/>
      <w:marTop w:val="0"/>
      <w:marBottom w:val="0"/>
      <w:divBdr>
        <w:top w:val="none" w:sz="0" w:space="0" w:color="auto"/>
        <w:left w:val="none" w:sz="0" w:space="0" w:color="auto"/>
        <w:bottom w:val="none" w:sz="0" w:space="0" w:color="auto"/>
        <w:right w:val="none" w:sz="0" w:space="0" w:color="auto"/>
      </w:divBdr>
    </w:div>
    <w:div w:id="854921253">
      <w:bodyDiv w:val="1"/>
      <w:marLeft w:val="0"/>
      <w:marRight w:val="0"/>
      <w:marTop w:val="0"/>
      <w:marBottom w:val="0"/>
      <w:divBdr>
        <w:top w:val="none" w:sz="0" w:space="0" w:color="auto"/>
        <w:left w:val="none" w:sz="0" w:space="0" w:color="auto"/>
        <w:bottom w:val="none" w:sz="0" w:space="0" w:color="auto"/>
        <w:right w:val="none" w:sz="0" w:space="0" w:color="auto"/>
      </w:divBdr>
    </w:div>
    <w:div w:id="1602451215">
      <w:bodyDiv w:val="1"/>
      <w:marLeft w:val="0"/>
      <w:marRight w:val="0"/>
      <w:marTop w:val="0"/>
      <w:marBottom w:val="0"/>
      <w:divBdr>
        <w:top w:val="none" w:sz="0" w:space="0" w:color="auto"/>
        <w:left w:val="none" w:sz="0" w:space="0" w:color="auto"/>
        <w:bottom w:val="none" w:sz="0" w:space="0" w:color="auto"/>
        <w:right w:val="none" w:sz="0" w:space="0" w:color="auto"/>
      </w:divBdr>
    </w:div>
    <w:div w:id="199610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8.png"/><Relationship Id="rId26"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thenextrecession.files.wordpress.com/2015/03/us-corporate-profit-and-investment.png" TargetMode="External"/><Relationship Id="rId25" Type="http://schemas.openxmlformats.org/officeDocument/2006/relationships/hyperlink" Target="https://thenextrecession.wordpress.com/2015/11/21/will-the-world-economy-enter-a-new-recession-next-year/growth-and-austerity/"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jpe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image" Target="media/image17.gif"/><Relationship Id="rId5" Type="http://schemas.openxmlformats.org/officeDocument/2006/relationships/settings" Target="settings.xml"/><Relationship Id="rId15" Type="http://schemas.openxmlformats.org/officeDocument/2006/relationships/hyperlink" Target="https://thenextrecession.files.wordpress.com/2015/11/profitability-and-investment.png" TargetMode="External"/><Relationship Id="rId23" Type="http://schemas.openxmlformats.org/officeDocument/2006/relationships/image" Target="media/image11.png"/><Relationship Id="rId28" Type="http://schemas.openxmlformats.org/officeDocument/2006/relationships/image" Target="media/image14.emf"/><Relationship Id="rId10" Type="http://schemas.openxmlformats.org/officeDocument/2006/relationships/image" Target="media/image2.png"/><Relationship Id="rId19" Type="http://schemas.openxmlformats.org/officeDocument/2006/relationships/hyperlink" Target="https://thenextrecession.files.wordpress.com/2016/09/profit-margins.jpg" TargetMode="External"/><Relationship Id="rId31" Type="http://schemas.openxmlformats.org/officeDocument/2006/relationships/hyperlink" Target="https://thenextrecession.files.wordpress.com/2012/10/image002.gi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hyperlink" Target="https://en.wikipedia.org/wiki/Micha%C5%82_Kalecki" TargetMode="External"/><Relationship Id="rId27" Type="http://schemas.openxmlformats.org/officeDocument/2006/relationships/hyperlink" Target="http://www.nber.org/reporter/2015number3/alesina.html" TargetMode="External"/><Relationship Id="rId30" Type="http://schemas.openxmlformats.org/officeDocument/2006/relationships/image" Target="media/image16.emf"/><Relationship Id="rId35" Type="http://schemas.openxmlformats.org/officeDocument/2006/relationships/theme" Target="theme/theme1.xml"/></Relationships>
</file>

<file path=word/_rels/endnotes.xml.rels><?xml version="1.0" encoding="UTF-8" standalone="yes"?>
<Relationships xmlns="http://schemas.openxmlformats.org/package/2006/relationships"><Relationship Id="rId8" Type="http://schemas.openxmlformats.org/officeDocument/2006/relationships/hyperlink" Target="https://thenextrecession.files.wordpress.com/2016/08/ec-201609-recession-probablilities.pdf" TargetMode="External"/><Relationship Id="rId3" Type="http://schemas.openxmlformats.org/officeDocument/2006/relationships/hyperlink" Target="http://www.bis.org/author/marco_jacopo_lombardi.htm" TargetMode="External"/><Relationship Id="rId7" Type="http://schemas.openxmlformats.org/officeDocument/2006/relationships/hyperlink" Target="https://thenextrecession.files.wordpress.com/2015/11/r_qt1503g.pdf" TargetMode="External"/><Relationship Id="rId2" Type="http://schemas.openxmlformats.org/officeDocument/2006/relationships/hyperlink" Target="http://www.bis.org/author/jonathan_kearns.htm" TargetMode="External"/><Relationship Id="rId1" Type="http://schemas.openxmlformats.org/officeDocument/2006/relationships/hyperlink" Target="http://www.bis.org/author/ryan_niladri_banerjee.htm" TargetMode="External"/><Relationship Id="rId6" Type="http://schemas.openxmlformats.org/officeDocument/2006/relationships/hyperlink" Target="http://eprints.lse.ac.uk/60305/1/__lse.ac.uk_storage_LIBRARY_SECOND~1_libfile_shared_REPOSI~1_Content_LSEUSA~1_LSEUSA~2_blogs.lse.ac.uk-Falling_profits_rather_than_increasing_financial_investment_led_to_decreasing_rates_of_capital_accumu.pdf" TargetMode="External"/><Relationship Id="rId11" Type="http://schemas.openxmlformats.org/officeDocument/2006/relationships/hyperlink" Target="http://www.voxeu.org/article/fiscal-multipliers-during-consolidation-evidence-european-union" TargetMode="External"/><Relationship Id="rId5" Type="http://schemas.openxmlformats.org/officeDocument/2006/relationships/hyperlink" Target="https://www.marxists.org/archive/mattick-paul/1974/crisis/ch01.htm" TargetMode="External"/><Relationship Id="rId10" Type="http://schemas.openxmlformats.org/officeDocument/2006/relationships/hyperlink" Target="https://thenextrecession.files.wordpress.com/2018/01/regimesofrealizationusingmarxandk_preview.pdf" TargetMode="External"/><Relationship Id="rId4" Type="http://schemas.openxmlformats.org/officeDocument/2006/relationships/hyperlink" Target="http://www.bis.org/publ/qtrpdf/r_qt1503g.htm" TargetMode="External"/><Relationship Id="rId9" Type="http://schemas.openxmlformats.org/officeDocument/2006/relationships/hyperlink" Target="http://gesd.free.fr/robcarch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976AC-1EC0-41A1-9ADB-F81E40C7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5137</Words>
  <Characters>29286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ToshibaT</dc:creator>
  <cp:lastModifiedBy>ToshibaT</cp:lastModifiedBy>
  <cp:revision>8</cp:revision>
  <cp:lastPrinted>2017-04-11T09:55:00Z</cp:lastPrinted>
  <dcterms:created xsi:type="dcterms:W3CDTF">2018-01-27T11:40:00Z</dcterms:created>
  <dcterms:modified xsi:type="dcterms:W3CDTF">2018-02-27T15:36:00Z</dcterms:modified>
</cp:coreProperties>
</file>